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宋体" w:hAnsi="宋体" w:cs="宋体"/>
          <w:b/>
          <w:bCs/>
          <w:color w:val="333333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333333"/>
          <w:kern w:val="0"/>
          <w:sz w:val="44"/>
          <w:szCs w:val="44"/>
        </w:rPr>
        <w:t>牡丹江市经济合作促进局</w:t>
      </w:r>
    </w:p>
    <w:p>
      <w:pPr>
        <w:widowControl/>
        <w:shd w:val="clear" w:color="auto" w:fill="FFFFFF"/>
        <w:jc w:val="center"/>
        <w:rPr>
          <w:rFonts w:ascii="宋体" w:hAnsi="宋体" w:cs="宋体"/>
          <w:b/>
          <w:bCs/>
          <w:color w:val="333333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333333"/>
          <w:kern w:val="0"/>
          <w:sz w:val="44"/>
          <w:szCs w:val="44"/>
        </w:rPr>
        <w:t>2022年政府信息公开工作年度报告</w:t>
      </w:r>
    </w:p>
    <w:p>
      <w:pPr>
        <w:widowControl/>
        <w:shd w:val="clear" w:color="auto" w:fill="FFFFFF"/>
        <w:jc w:val="center"/>
        <w:rPr>
          <w:rFonts w:ascii="楷体" w:hAnsi="楷体" w:eastAsia="楷体" w:cs="楷体"/>
          <w:color w:val="333333"/>
          <w:kern w:val="0"/>
          <w:sz w:val="32"/>
          <w:szCs w:val="32"/>
        </w:rPr>
      </w:pPr>
      <w:r>
        <w:rPr>
          <w:rFonts w:hint="eastAsia" w:ascii="楷体" w:hAnsi="楷体" w:eastAsia="楷体" w:cs="楷体"/>
          <w:color w:val="333333"/>
          <w:kern w:val="0"/>
          <w:sz w:val="32"/>
          <w:szCs w:val="32"/>
        </w:rPr>
        <w:t>2023年1月</w:t>
      </w:r>
      <w:r>
        <w:rPr>
          <w:rFonts w:hint="eastAsia" w:ascii="楷体" w:hAnsi="楷体" w:eastAsia="楷体" w:cs="楷体"/>
          <w:color w:val="333333"/>
          <w:kern w:val="0"/>
          <w:sz w:val="32"/>
          <w:szCs w:val="32"/>
          <w:lang w:val="en-US" w:eastAsia="zh-CN"/>
        </w:rPr>
        <w:t>17</w:t>
      </w:r>
      <w:r>
        <w:rPr>
          <w:rFonts w:hint="eastAsia" w:ascii="楷体" w:hAnsi="楷体" w:eastAsia="楷体" w:cs="楷体"/>
          <w:color w:val="333333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jc w:val="center"/>
        <w:rPr>
          <w:rFonts w:ascii="宋体" w:hAnsi="宋体" w:cs="宋体"/>
          <w:b/>
          <w:bCs/>
          <w:color w:val="333333"/>
          <w:kern w:val="0"/>
          <w:sz w:val="28"/>
          <w:szCs w:val="28"/>
        </w:rPr>
      </w:pPr>
    </w:p>
    <w:p>
      <w:pPr>
        <w:widowControl/>
        <w:shd w:val="clear" w:color="auto" w:fill="FFFFFF"/>
        <w:rPr>
          <w:rFonts w:ascii="仿宋_GB2312" w:hAnsi="宋体" w:eastAsia="仿宋_GB2312" w:cs="宋体"/>
          <w:bCs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333333"/>
          <w:kern w:val="0"/>
          <w:sz w:val="32"/>
          <w:szCs w:val="32"/>
        </w:rPr>
        <w:t xml:space="preserve">    本报告依据《中华人民共和国政府信息公开条例》和《中华人民共和国政府信息公开工作年度报告格式》的通知要求，由我局结合有关统计数据编制。本年度报告中所列数据的统计期限自2022年1月1日起至2022年12月31日止。我局坚持“公开为常态、不公开为例外”原则，进一步加强主动公开和解读回应，提升公开质量和水平。</w:t>
      </w:r>
    </w:p>
    <w:p>
      <w:pPr>
        <w:widowControl/>
        <w:shd w:val="clear" w:color="auto" w:fill="FFFFFF"/>
        <w:spacing w:line="480" w:lineRule="auto"/>
        <w:ind w:firstLine="640" w:firstLineChars="200"/>
        <w:jc w:val="lef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333333"/>
          <w:kern w:val="0"/>
          <w:sz w:val="32"/>
          <w:szCs w:val="32"/>
        </w:rPr>
        <w:t>一、总体情况</w:t>
      </w:r>
    </w:p>
    <w:p>
      <w:pPr>
        <w:widowControl/>
        <w:shd w:val="clear" w:color="auto" w:fill="FFFFFF"/>
        <w:ind w:firstLine="643" w:firstLineChars="200"/>
        <w:jc w:val="left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color w:val="333333"/>
          <w:kern w:val="0"/>
          <w:sz w:val="32"/>
          <w:szCs w:val="32"/>
        </w:rPr>
        <w:t>1、强化组织建设。</w:t>
      </w:r>
      <w:r>
        <w:rPr>
          <w:rFonts w:hint="eastAsia" w:ascii="仿宋_GB2312" w:hAnsi="楷体" w:eastAsia="仿宋_GB2312" w:cs="楷体"/>
          <w:color w:val="333333"/>
          <w:kern w:val="0"/>
          <w:sz w:val="32"/>
          <w:szCs w:val="32"/>
        </w:rPr>
        <w:t>为切实加强对政务公开工作的组织领导，建立了主要领导亲自抓，分管领导具体督办，办公室负责牵头组织协调工作机制，与重点工作同布置、同落实、同讲评、同考核。</w:t>
      </w:r>
    </w:p>
    <w:p>
      <w:pPr>
        <w:widowControl/>
        <w:ind w:firstLine="643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</w:rPr>
        <w:t>2、积极主动公开。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通过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牡丹江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市人民政府门户网站公开了2021年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政府信息公开工作年度报告、202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年财政预算情况说明、202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年财政决算情况说明，发布疫情防控工作信息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条，投资动态信息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63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条，招商项目信息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3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条。2021年度我局无依申请公开文件。下一步，我局将继续关注政府信息公开申请情况，做好依申请公开工作。</w:t>
      </w:r>
    </w:p>
    <w:p>
      <w:pPr>
        <w:widowControl/>
        <w:shd w:val="clear" w:color="auto" w:fill="FFFFFF"/>
        <w:ind w:firstLine="643" w:firstLineChars="200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ascii="楷体_GB2312" w:hAnsi="宋体" w:eastAsia="楷体_GB2312" w:cs="宋体"/>
          <w:b/>
          <w:color w:val="333333"/>
          <w:kern w:val="0"/>
          <w:sz w:val="32"/>
          <w:szCs w:val="32"/>
        </w:rPr>
        <w:t>3</w:t>
      </w:r>
      <w:r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</w:rPr>
        <w:t>、拓展宣传领域。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采用多种途径、多种方式广泛宣传，借助报纸、广播、电视等新闻媒体，加大宣传力度，使广大群众知晓政务公开的内容，获取政务信息的方式，了解自己的权利和义务，为深化政务公开工作奠定良好的基础。 </w:t>
      </w:r>
    </w:p>
    <w:p>
      <w:pPr>
        <w:widowControl/>
        <w:shd w:val="clear" w:color="auto" w:fill="FFFFFF"/>
        <w:ind w:firstLine="643" w:firstLineChars="200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ascii="楷体_GB2312" w:hAnsi="宋体" w:eastAsia="楷体_GB2312" w:cs="宋体"/>
          <w:b/>
          <w:color w:val="333333"/>
          <w:kern w:val="0"/>
          <w:sz w:val="32"/>
          <w:szCs w:val="32"/>
        </w:rPr>
        <w:t>4</w:t>
      </w:r>
      <w:r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</w:rPr>
        <w:t>、落实监督保障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 。健全我局政府信息公开工作机制，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落实责任领导、责任科室和具体责任人,严格执行三级审核，确保信息公开工作制度化、规范化、常态化。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加强日常监督检查，定期在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牡丹江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市人民政府门户网站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、微信公众号等平台发布工作动态和政务信息，切实保证政府信息公开工作任务顺利开展。</w:t>
      </w:r>
    </w:p>
    <w:p>
      <w:pPr>
        <w:widowControl/>
        <w:shd w:val="clear" w:color="auto" w:fill="FFFFFF"/>
        <w:spacing w:line="480" w:lineRule="auto"/>
        <w:ind w:firstLine="640" w:firstLineChars="200"/>
        <w:rPr>
          <w:rFonts w:ascii="黑体" w:hAnsi="宋体" w:eastAsia="黑体" w:cs="宋体"/>
          <w:bCs/>
          <w:color w:val="333333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333333"/>
          <w:kern w:val="0"/>
          <w:sz w:val="32"/>
          <w:szCs w:val="32"/>
        </w:rPr>
        <w:t>二、主动公开政府信息情况</w:t>
      </w:r>
    </w:p>
    <w:p>
      <w:pPr>
        <w:widowControl/>
        <w:jc w:val="left"/>
      </w:pPr>
    </w:p>
    <w:tbl>
      <w:tblPr>
        <w:tblStyle w:val="5"/>
        <w:tblW w:w="9735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0"/>
        <w:gridCol w:w="2430"/>
        <w:gridCol w:w="2430"/>
        <w:gridCol w:w="2445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第二十条第（一）项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信息内容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本年</w:t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制发件数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本年废止件数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数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规章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行政规范性文件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第二十条第（五）项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本年处理决定数量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第二十条第（六）项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本年处理决定数量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第二十条第（八）项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本年收费金额（单位：万元）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/>
        <w:rPr>
          <w:rFonts w:ascii="微软雅黑" w:hAnsi="微软雅黑" w:eastAsia="微软雅黑" w:cs="微软雅黑"/>
          <w:color w:val="333333"/>
          <w:sz w:val="18"/>
          <w:szCs w:val="18"/>
        </w:rPr>
      </w:pPr>
    </w:p>
    <w:p>
      <w:pPr>
        <w:pStyle w:val="4"/>
        <w:widowControl/>
        <w:shd w:val="clear" w:color="auto" w:fill="FFFFFF"/>
        <w:spacing w:before="0" w:beforeAutospacing="0" w:after="180" w:afterAutospacing="0"/>
        <w:ind w:firstLine="420"/>
        <w:rPr>
          <w:rFonts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三、收到和处理政府信息公开申请情况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center"/>
        <w:rPr>
          <w:rFonts w:ascii="宋体" w:hAnsi="宋体" w:cs="宋体"/>
          <w:color w:val="333333"/>
          <w:sz w:val="18"/>
          <w:szCs w:val="18"/>
        </w:rPr>
      </w:pPr>
    </w:p>
    <w:tbl>
      <w:tblPr>
        <w:tblStyle w:val="5"/>
        <w:tblW w:w="9750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1080"/>
        <w:gridCol w:w="3205"/>
        <w:gridCol w:w="692"/>
        <w:gridCol w:w="692"/>
        <w:gridCol w:w="692"/>
        <w:gridCol w:w="692"/>
        <w:gridCol w:w="692"/>
        <w:gridCol w:w="692"/>
        <w:gridCol w:w="692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4844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申请人情况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69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自然人</w:t>
            </w:r>
          </w:p>
        </w:tc>
        <w:tc>
          <w:tcPr>
            <w:tcW w:w="346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法人或其他组织</w:t>
            </w:r>
          </w:p>
        </w:tc>
        <w:tc>
          <w:tcPr>
            <w:tcW w:w="692" w:type="dxa"/>
            <w:vMerge w:val="restart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总计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69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商业</w:t>
            </w:r>
          </w:p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企业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科研</w:t>
            </w:r>
          </w:p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机构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社会公益组织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法律服务机构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其他</w:t>
            </w:r>
          </w:p>
        </w:tc>
        <w:tc>
          <w:tcPr>
            <w:tcW w:w="692" w:type="dxa"/>
            <w:vMerge w:val="continue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108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108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restart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三、本年度办理结果</w:t>
            </w:r>
          </w:p>
        </w:tc>
        <w:tc>
          <w:tcPr>
            <w:tcW w:w="41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（一）予以公开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41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（二）部分公开（区分处理的，只计这一情形，不计其他情形）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144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（三）不予公开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1.属于国家秘密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2.其他法律行政法规禁止公开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96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3.危及“三安全一稳定”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96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4.保护第三方合法权益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96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5.属于三类内部事务信息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96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6.属于四类过程性信息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96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7.属于行政执法案卷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8.属于行政查询事项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（四）无法提供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1.本机关不掌握相关政府信息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96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2.没有现成信息需要另行制作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96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3.补正后申请内容仍不明确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96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（五）不予处理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1.信访举报投诉类申请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96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2.重复申请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3.要求提供公开出版物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96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4.无正当理由大量反复申请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96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5.要求行政机关确认或重新出具已获取信息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144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（六）其他处理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1.申请人无正当理由逾期不补正、行政机关不再处理其政府信息公开申请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192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2.申请人逾期未按收费通知要求缴纳费用、行政机关不再处理其政府信息公开申请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pacing w:line="2400" w:lineRule="auto"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3.其他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41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（七）总计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四、结转下年度继续办理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180" w:afterAutospacing="0"/>
        <w:rPr>
          <w:rFonts w:ascii="宋体" w:hAnsi="宋体" w:cs="宋体"/>
          <w:color w:val="333333"/>
          <w:sz w:val="18"/>
          <w:szCs w:val="18"/>
        </w:rPr>
      </w:pP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cs="宋体"/>
          <w:color w:val="333333"/>
          <w:sz w:val="18"/>
          <w:szCs w:val="18"/>
        </w:rPr>
      </w:pPr>
    </w:p>
    <w:tbl>
      <w:tblPr>
        <w:tblStyle w:val="5"/>
        <w:tblW w:w="9750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行政复议</w:t>
            </w:r>
          </w:p>
        </w:tc>
        <w:tc>
          <w:tcPr>
            <w:tcW w:w="643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行政诉讼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结果维持</w:t>
            </w:r>
          </w:p>
        </w:tc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纠正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结果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尚未</w:t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审结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总计</w:t>
            </w:r>
          </w:p>
        </w:tc>
        <w:tc>
          <w:tcPr>
            <w:tcW w:w="3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未经复议直接起诉</w:t>
            </w:r>
          </w:p>
        </w:tc>
        <w:tc>
          <w:tcPr>
            <w:tcW w:w="3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复议后起诉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维持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纠正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结果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尚未</w:t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审结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总计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维持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纠正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结果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尚未</w:t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审结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总计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</w:tblPrEx>
        <w:trPr>
          <w:trHeight w:val="675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  <w:t>0</w:t>
            </w:r>
          </w:p>
        </w:tc>
      </w:tr>
    </w:tbl>
    <w:p>
      <w:pPr>
        <w:widowControl/>
        <w:shd w:val="clear" w:color="auto" w:fill="FFFFFF"/>
        <w:spacing w:line="480" w:lineRule="auto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hd w:val="clear" w:color="auto" w:fill="FFFFFF"/>
        <w:ind w:firstLine="640" w:firstLineChars="200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333333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ind w:firstLine="640" w:firstLineChars="200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我局虽然已按上级要求及时、规范公开和分类信息，但仍存在一些问题，主要表现在：一是公开信息的实效性不够强。二是宣传和引导工作有待加强，需进一步提升对政府信息公开工作的认识程度，满足社会公众的需求。</w:t>
      </w:r>
    </w:p>
    <w:p>
      <w:pPr>
        <w:widowControl/>
        <w:shd w:val="clear" w:color="auto" w:fill="FFFFFF"/>
        <w:ind w:firstLine="640" w:firstLineChars="200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针对以上问题，将采取以下改进措施：</w:t>
      </w:r>
    </w:p>
    <w:p>
      <w:pPr>
        <w:widowControl/>
        <w:numPr>
          <w:ilvl w:val="0"/>
          <w:numId w:val="1"/>
        </w:numPr>
        <w:shd w:val="clear" w:color="auto" w:fill="FFFFFF"/>
        <w:ind w:firstLine="640" w:firstLineChars="200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强化信息公开实效性。进一步落实责任，明确权限职责分工，细化工作计划方案，规范信息发布流程，继续完善“三审三校”机制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,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信息发布按“分级审核、先审后发” 程序落实，未经三级审核的信息一律不发布。</w:t>
      </w:r>
    </w:p>
    <w:p>
      <w:pPr>
        <w:widowControl/>
        <w:numPr>
          <w:ilvl w:val="0"/>
          <w:numId w:val="1"/>
        </w:numPr>
        <w:shd w:val="clear" w:color="auto" w:fill="FFFFFF"/>
        <w:ind w:firstLine="640" w:firstLineChars="200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加大对信息公开的宣传力度，使社会公众对这项工作有进一步的了解和更深的认识，引导公众正确使用信息公开这种新兴的政府服务职能，为市民的生活、工作提供便利。</w:t>
      </w:r>
    </w:p>
    <w:p>
      <w:pPr>
        <w:widowControl/>
        <w:shd w:val="clear" w:color="auto" w:fill="FFFFFF"/>
        <w:ind w:firstLine="640" w:firstLineChars="200"/>
        <w:jc w:val="left"/>
        <w:rPr>
          <w:rFonts w:hint="eastAsia" w:ascii="仿宋_GB2312" w:hAnsi="仿宋_GB2312" w:eastAsia="仿宋_GB2312" w:cs="仿宋_GB2312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ind w:firstLine="640" w:firstLineChars="200"/>
        <w:jc w:val="lef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333333"/>
          <w:kern w:val="0"/>
          <w:sz w:val="32"/>
          <w:szCs w:val="32"/>
        </w:rPr>
        <w:t>六、其他需要报告的事项</w:t>
      </w:r>
    </w:p>
    <w:p>
      <w:pPr>
        <w:widowControl/>
        <w:shd w:val="clear" w:color="auto" w:fill="FFFFFF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无其他需要报告的事项。</w:t>
      </w:r>
    </w:p>
    <w:p/>
    <w:p/>
    <w:p/>
    <w:p/>
    <w:p/>
    <w:p/>
    <w:p/>
    <w:p/>
    <w:p>
      <w:pPr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0" w:right="1800" w:bottom="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3FA867"/>
    <w:multiLevelType w:val="singleLevel"/>
    <w:tmpl w:val="673FA86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iMDQ5ZTA3NzA3OWUwYjQ0NGVjNWI0OWUxNzBmZDIifQ=="/>
  </w:docVars>
  <w:rsids>
    <w:rsidRoot w:val="FB739C6C"/>
    <w:rsid w:val="00071131"/>
    <w:rsid w:val="00360C24"/>
    <w:rsid w:val="00576CFF"/>
    <w:rsid w:val="005E0EDA"/>
    <w:rsid w:val="005F2102"/>
    <w:rsid w:val="00661728"/>
    <w:rsid w:val="00836FDD"/>
    <w:rsid w:val="008E658C"/>
    <w:rsid w:val="00A41118"/>
    <w:rsid w:val="1F012492"/>
    <w:rsid w:val="2DEC61FC"/>
    <w:rsid w:val="373F78FF"/>
    <w:rsid w:val="52B96262"/>
    <w:rsid w:val="6DFF5057"/>
    <w:rsid w:val="74BADBEE"/>
    <w:rsid w:val="7D5D529E"/>
    <w:rsid w:val="7EC933D4"/>
    <w:rsid w:val="8FFBB1CF"/>
    <w:rsid w:val="BAFFC594"/>
    <w:rsid w:val="DCDE7519"/>
    <w:rsid w:val="DFB7A8C6"/>
    <w:rsid w:val="ECBDD41E"/>
    <w:rsid w:val="F6F4839A"/>
    <w:rsid w:val="FB739C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1899</Words>
  <Characters>1946</Characters>
  <Lines>16</Lines>
  <Paragraphs>4</Paragraphs>
  <TotalTime>138</TotalTime>
  <ScaleCrop>false</ScaleCrop>
  <LinksUpToDate>false</LinksUpToDate>
  <CharactersWithSpaces>1953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2023-01-09T01:14:00Z</dcterms:created>
  <dc:creator>greatwall</dc:creator>
  <cp:lastModifiedBy>康娜</cp:lastModifiedBy>
  <cp:lastPrinted>2022-01-25T18:35:00Z</cp:lastPrinted>
  <dcterms:modified xsi:type="dcterms:W3CDTF">2023-01-18T06:29:28Z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A64BB982038E46C98CE30759C194C7F6</vt:lpwstr>
  </property>
</Properties>
</file>