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firstLine="480"/>
        <w:jc w:val="center"/>
        <w:rPr>
          <w:rFonts w:ascii="宋体" w:hAnsi="宋体" w:eastAsia="宋体" w:cs="宋体"/>
          <w:b/>
          <w:bCs/>
          <w:sz w:val="44"/>
          <w:szCs w:val="44"/>
        </w:rPr>
      </w:pPr>
      <w:r>
        <w:rPr>
          <w:rFonts w:ascii="宋体" w:hAnsi="宋体" w:eastAsia="宋体" w:cs="宋体"/>
          <w:b/>
          <w:bCs/>
          <w:sz w:val="44"/>
          <w:szCs w:val="44"/>
        </w:rPr>
        <w:t>牡丹江经济</w:t>
      </w:r>
      <w:r>
        <w:rPr>
          <w:rFonts w:hint="eastAsia" w:ascii="宋体" w:hAnsi="宋体" w:eastAsia="宋体" w:cs="宋体"/>
          <w:b/>
          <w:bCs/>
          <w:sz w:val="44"/>
          <w:szCs w:val="44"/>
          <w:lang w:eastAsia="zh-CN"/>
        </w:rPr>
        <w:t>技术</w:t>
      </w:r>
      <w:r>
        <w:rPr>
          <w:rFonts w:ascii="宋体" w:hAnsi="宋体" w:eastAsia="宋体" w:cs="宋体"/>
          <w:b/>
          <w:bCs/>
          <w:sz w:val="44"/>
          <w:szCs w:val="44"/>
        </w:rPr>
        <w:t>开发区管理委员会</w:t>
      </w:r>
    </w:p>
    <w:p>
      <w:pPr>
        <w:keepNext w:val="0"/>
        <w:keepLines w:val="0"/>
        <w:widowControl/>
        <w:suppressLineNumbers w:val="0"/>
        <w:spacing w:before="0" w:beforeAutospacing="1" w:after="0" w:afterAutospacing="1"/>
        <w:ind w:left="0" w:right="0" w:firstLine="480"/>
        <w:jc w:val="center"/>
        <w:rPr>
          <w:rFonts w:hint="eastAsia" w:ascii="宋体" w:hAnsi="宋体" w:eastAsia="宋体" w:cs="宋体"/>
          <w:b/>
          <w:bCs/>
          <w:sz w:val="44"/>
          <w:szCs w:val="44"/>
          <w:lang w:eastAsia="zh-CN"/>
        </w:rPr>
      </w:pPr>
      <w:r>
        <w:rPr>
          <w:rFonts w:hint="eastAsia" w:ascii="宋体" w:hAnsi="宋体" w:eastAsia="宋体" w:cs="宋体"/>
          <w:b/>
          <w:bCs/>
          <w:sz w:val="44"/>
          <w:szCs w:val="44"/>
          <w:lang w:val="en-US" w:eastAsia="zh-CN"/>
        </w:rPr>
        <w:t>2022</w:t>
      </w:r>
      <w:r>
        <w:rPr>
          <w:rFonts w:ascii="宋体" w:hAnsi="宋体" w:eastAsia="宋体" w:cs="宋体"/>
          <w:b/>
          <w:bCs/>
          <w:sz w:val="44"/>
          <w:szCs w:val="44"/>
        </w:rPr>
        <w:t>年</w:t>
      </w:r>
      <w:r>
        <w:rPr>
          <w:rFonts w:hint="eastAsia" w:ascii="宋体" w:hAnsi="宋体" w:eastAsia="宋体" w:cs="宋体"/>
          <w:b/>
          <w:bCs/>
          <w:sz w:val="44"/>
          <w:szCs w:val="44"/>
          <w:lang w:eastAsia="zh-CN"/>
        </w:rPr>
        <w:t>政府信息公开工作年度报告</w:t>
      </w:r>
    </w:p>
    <w:p>
      <w:pPr>
        <w:keepNext w:val="0"/>
        <w:keepLines w:val="0"/>
        <w:widowControl/>
        <w:suppressLineNumbers w:val="0"/>
        <w:spacing w:before="0" w:beforeAutospacing="1" w:after="0" w:afterAutospacing="1"/>
        <w:ind w:left="0" w:right="0" w:firstLine="480"/>
        <w:jc w:val="center"/>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2023年</w:t>
      </w:r>
      <w:bookmarkStart w:id="0" w:name="_GoBack"/>
      <w:bookmarkEnd w:id="0"/>
      <w:r>
        <w:rPr>
          <w:rFonts w:hint="eastAsia" w:ascii="楷体_GB2312" w:hAnsi="楷体_GB2312" w:eastAsia="楷体_GB2312" w:cs="楷体_GB2312"/>
          <w:b/>
          <w:bCs/>
          <w:sz w:val="32"/>
          <w:szCs w:val="32"/>
          <w:lang w:val="en-US" w:eastAsia="zh-CN"/>
        </w:rPr>
        <w:t>1月17日</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default" w:ascii="黑体" w:hAnsi="黑体" w:eastAsia="仿宋_GB2312" w:cs="黑体"/>
          <w:b w:val="0"/>
          <w:bCs w:val="0"/>
          <w:sz w:val="32"/>
          <w:szCs w:val="32"/>
          <w:lang w:val="en-US" w:eastAsia="zh-CN"/>
        </w:rPr>
      </w:pPr>
      <w:r>
        <w:rPr>
          <w:rFonts w:hint="eastAsia" w:ascii="仿宋_GB2312" w:eastAsia="仿宋_GB2312"/>
          <w:sz w:val="32"/>
          <w:szCs w:val="32"/>
          <w:lang w:eastAsia="zh-CN"/>
        </w:rPr>
        <w:t>为</w:t>
      </w:r>
      <w:r>
        <w:rPr>
          <w:rFonts w:hint="eastAsia" w:ascii="仿宋_GB2312" w:eastAsia="仿宋_GB2312"/>
          <w:sz w:val="32"/>
          <w:szCs w:val="32"/>
        </w:rPr>
        <w:t>深入贯彻落实《中华人民共和国政府信息公开条例》</w:t>
      </w:r>
      <w:r>
        <w:rPr>
          <w:rFonts w:hint="eastAsia" w:ascii="仿宋_GB2312" w:eastAsia="仿宋_GB2312"/>
          <w:sz w:val="32"/>
          <w:szCs w:val="32"/>
          <w:lang w:eastAsia="zh-CN"/>
        </w:rPr>
        <w:t>，现将牡丹江经济技术开发区管理委员会</w:t>
      </w:r>
      <w:r>
        <w:rPr>
          <w:rFonts w:hint="eastAsia" w:ascii="仿宋_GB2312" w:eastAsia="仿宋_GB2312"/>
          <w:sz w:val="32"/>
          <w:szCs w:val="32"/>
          <w:lang w:val="en-US" w:eastAsia="zh-CN"/>
        </w:rPr>
        <w:t xml:space="preserve">2022年度政府信息公开工作报告如下（报告中涉及数据时间为2022年1月1日-12月31日） </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仿宋_GB2312" w:eastAsia="仿宋_GB2312"/>
          <w:sz w:val="32"/>
          <w:szCs w:val="32"/>
        </w:rPr>
      </w:pPr>
      <w:r>
        <w:rPr>
          <w:rFonts w:hint="eastAsia" w:ascii="黑体" w:hAnsi="黑体" w:eastAsia="黑体" w:cs="黑体"/>
          <w:b w:val="0"/>
          <w:bCs w:val="0"/>
          <w:sz w:val="32"/>
          <w:szCs w:val="32"/>
          <w:lang w:val="en-US" w:eastAsia="zh-CN"/>
        </w:rPr>
        <w:t>一、总体情况</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sz w:val="32"/>
          <w:szCs w:val="32"/>
          <w:lang w:val="en-US" w:eastAsia="zh-CN"/>
        </w:rPr>
        <w:t>2022年，</w:t>
      </w:r>
      <w:r>
        <w:rPr>
          <w:rFonts w:hint="eastAsia" w:ascii="仿宋_GB2312" w:eastAsia="仿宋_GB2312"/>
          <w:sz w:val="32"/>
          <w:szCs w:val="32"/>
        </w:rPr>
        <w:t>牡丹江经济技术</w:t>
      </w:r>
      <w:r>
        <w:rPr>
          <w:rFonts w:hint="eastAsia" w:ascii="仿宋_GB2312" w:eastAsia="仿宋_GB2312"/>
          <w:sz w:val="32"/>
          <w:szCs w:val="32"/>
          <w:lang w:eastAsia="zh-CN"/>
        </w:rPr>
        <w:t>开发区管理委员会</w:t>
      </w:r>
      <w:r>
        <w:rPr>
          <w:rFonts w:hint="eastAsia" w:ascii="仿宋_GB2312" w:eastAsia="仿宋_GB2312"/>
          <w:sz w:val="32"/>
          <w:szCs w:val="32"/>
        </w:rPr>
        <w:t>（以下简称“</w:t>
      </w:r>
      <w:r>
        <w:rPr>
          <w:rFonts w:hint="eastAsia" w:ascii="仿宋_GB2312" w:eastAsia="仿宋_GB2312"/>
          <w:sz w:val="32"/>
          <w:szCs w:val="32"/>
          <w:lang w:eastAsia="zh-CN"/>
        </w:rPr>
        <w:t>开发区</w:t>
      </w:r>
      <w:r>
        <w:rPr>
          <w:rFonts w:hint="eastAsia" w:ascii="仿宋_GB2312" w:eastAsia="仿宋_GB2312"/>
          <w:sz w:val="32"/>
          <w:szCs w:val="32"/>
        </w:rPr>
        <w:t>”）深入贯彻落实《中华人民共和国政府信息公开条例》</w:t>
      </w:r>
      <w:r>
        <w:rPr>
          <w:rFonts w:hint="eastAsia" w:ascii="仿宋_GB2312" w:eastAsia="仿宋_GB2312"/>
          <w:sz w:val="32"/>
          <w:szCs w:val="32"/>
          <w:lang w:eastAsia="zh-CN"/>
        </w:rPr>
        <w:t>和</w:t>
      </w:r>
      <w:r>
        <w:rPr>
          <w:rFonts w:hint="eastAsia" w:ascii="仿宋_GB2312" w:eastAsia="仿宋_GB2312"/>
          <w:sz w:val="32"/>
          <w:szCs w:val="32"/>
        </w:rPr>
        <w:t>《牡丹江市人民政府办公室关于</w:t>
      </w:r>
      <w:r>
        <w:rPr>
          <w:rFonts w:hint="eastAsia" w:ascii="仿宋_GB2312" w:eastAsia="仿宋_GB2312"/>
          <w:sz w:val="32"/>
          <w:szCs w:val="32"/>
          <w:lang w:eastAsia="zh-CN"/>
        </w:rPr>
        <w:t>印发牡丹江市</w:t>
      </w:r>
      <w:r>
        <w:rPr>
          <w:rFonts w:hint="eastAsia" w:ascii="仿宋_GB2312" w:eastAsia="仿宋_GB2312"/>
          <w:sz w:val="32"/>
          <w:szCs w:val="32"/>
          <w:lang w:val="en-US" w:eastAsia="zh-CN"/>
        </w:rPr>
        <w:t>2022年政务公开工作实施方案的通知</w:t>
      </w:r>
      <w:r>
        <w:rPr>
          <w:rFonts w:hint="eastAsia" w:ascii="仿宋_GB2312" w:eastAsia="仿宋_GB2312"/>
          <w:sz w:val="32"/>
          <w:szCs w:val="32"/>
        </w:rPr>
        <w:t>》（牡政办发〔20</w:t>
      </w:r>
      <w:r>
        <w:rPr>
          <w:rFonts w:hint="eastAsia" w:ascii="仿宋_GB2312" w:eastAsia="仿宋_GB2312"/>
          <w:sz w:val="32"/>
          <w:szCs w:val="32"/>
          <w:lang w:val="en-US" w:eastAsia="zh-CN"/>
        </w:rPr>
        <w:t>22</w:t>
      </w:r>
      <w:r>
        <w:rPr>
          <w:rFonts w:hint="eastAsia" w:ascii="仿宋_GB2312" w:eastAsia="仿宋_GB2312"/>
          <w:sz w:val="32"/>
          <w:szCs w:val="32"/>
        </w:rPr>
        <w:t>〕</w:t>
      </w:r>
      <w:r>
        <w:rPr>
          <w:rFonts w:hint="eastAsia" w:ascii="仿宋_GB2312" w:eastAsia="仿宋_GB2312"/>
          <w:sz w:val="32"/>
          <w:szCs w:val="32"/>
          <w:lang w:val="en-US" w:eastAsia="zh-CN"/>
        </w:rPr>
        <w:t>21</w:t>
      </w:r>
      <w:r>
        <w:rPr>
          <w:rFonts w:hint="eastAsia" w:ascii="仿宋_GB2312" w:eastAsia="仿宋_GB2312"/>
          <w:sz w:val="32"/>
          <w:szCs w:val="32"/>
        </w:rPr>
        <w:t>号</w:t>
      </w:r>
      <w:r>
        <w:rPr>
          <w:rFonts w:hint="eastAsia" w:ascii="仿宋_GB2312" w:eastAsia="仿宋_GB2312"/>
          <w:sz w:val="32"/>
          <w:szCs w:val="32"/>
          <w:lang w:eastAsia="zh-CN"/>
        </w:rPr>
        <w:t>）</w:t>
      </w:r>
      <w:r>
        <w:rPr>
          <w:rFonts w:hint="eastAsia" w:ascii="仿宋_GB2312" w:eastAsia="仿宋_GB2312"/>
          <w:sz w:val="32"/>
          <w:szCs w:val="32"/>
        </w:rPr>
        <w:t>要求，在牡丹江市委、市政府的领导下</w:t>
      </w:r>
      <w:r>
        <w:rPr>
          <w:rFonts w:hint="eastAsia" w:ascii="仿宋_GB2312" w:hAnsi="仿宋_GB2312" w:eastAsia="仿宋_GB2312" w:cs="仿宋_GB2312"/>
          <w:color w:val="000000" w:themeColor="text1"/>
          <w:sz w:val="32"/>
          <w:szCs w:val="32"/>
          <w14:textFill>
            <w14:solidFill>
              <w14:schemeClr w14:val="tx1"/>
            </w14:solidFill>
          </w14:textFill>
        </w:rPr>
        <w:t>，在市政务公开办公室的支持和指导下，紧紧围绕年初确定的目标任务，</w:t>
      </w:r>
      <w:r>
        <w:rPr>
          <w:rFonts w:hint="eastAsia" w:ascii="仿宋_GB2312" w:hAnsi="仿宋_GB2312" w:eastAsia="仿宋_GB2312" w:cs="仿宋_GB2312"/>
          <w:color w:val="000000" w:themeColor="text1"/>
          <w:sz w:val="32"/>
          <w:szCs w:val="32"/>
          <w:lang w:eastAsia="zh-CN"/>
          <w14:textFill>
            <w14:solidFill>
              <w14:schemeClr w14:val="tx1"/>
            </w14:solidFill>
          </w14:textFill>
        </w:rPr>
        <w:t>扎实做好政务公开工作，</w:t>
      </w:r>
      <w:r>
        <w:rPr>
          <w:rFonts w:hint="eastAsia" w:ascii="仿宋_GB2312" w:hAnsi="仿宋_GB2312" w:eastAsia="仿宋_GB2312" w:cs="仿宋_GB2312"/>
          <w:color w:val="000000" w:themeColor="text1"/>
          <w:sz w:val="32"/>
          <w:szCs w:val="32"/>
          <w14:textFill>
            <w14:solidFill>
              <w14:schemeClr w14:val="tx1"/>
            </w14:solidFill>
          </w14:textFill>
        </w:rPr>
        <w:t>切实加强组织领导，完善工作制度，</w:t>
      </w:r>
      <w:r>
        <w:rPr>
          <w:rFonts w:hint="eastAsia" w:ascii="仿宋_GB2312" w:hAnsi="仿宋_GB2312" w:eastAsia="仿宋_GB2312" w:cs="仿宋_GB2312"/>
          <w:color w:val="000000" w:themeColor="text1"/>
          <w:sz w:val="32"/>
          <w:szCs w:val="32"/>
          <w:lang w:eastAsia="zh-CN"/>
          <w14:textFill>
            <w14:solidFill>
              <w14:schemeClr w14:val="tx1"/>
            </w14:solidFill>
          </w14:textFill>
        </w:rPr>
        <w:t>优化公共平台建设管理，</w:t>
      </w:r>
      <w:r>
        <w:rPr>
          <w:rFonts w:hint="eastAsia" w:ascii="仿宋_GB2312" w:hAnsi="仿宋_GB2312" w:eastAsia="仿宋_GB2312" w:cs="仿宋_GB2312"/>
          <w:color w:val="000000" w:themeColor="text1"/>
          <w:sz w:val="32"/>
          <w:szCs w:val="32"/>
          <w14:textFill>
            <w14:solidFill>
              <w14:schemeClr w14:val="tx1"/>
            </w14:solidFill>
          </w14:textFill>
        </w:rPr>
        <w:t>采取积极有效的措施推进政务公开</w:t>
      </w:r>
      <w:r>
        <w:rPr>
          <w:rFonts w:hint="eastAsia" w:ascii="仿宋_GB2312" w:hAnsi="仿宋_GB2312" w:eastAsia="仿宋_GB2312" w:cs="仿宋_GB2312"/>
          <w:color w:val="000000" w:themeColor="text1"/>
          <w:sz w:val="32"/>
          <w:szCs w:val="32"/>
          <w:lang w:eastAsia="zh-CN"/>
          <w14:textFill>
            <w14:solidFill>
              <w14:schemeClr w14:val="tx1"/>
            </w14:solidFill>
          </w14:textFill>
        </w:rPr>
        <w:t>工作顺利进行</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0" w:firstLine="643" w:firstLineChars="200"/>
        <w:textAlignment w:val="auto"/>
        <w:rPr>
          <w:rFonts w:hint="eastAsia" w:ascii="仿宋_GB2312" w:eastAsia="仿宋_GB2312"/>
          <w:b w:val="0"/>
          <w:bCs w:val="0"/>
          <w:sz w:val="32"/>
          <w:szCs w:val="32"/>
          <w:lang w:eastAsia="zh-CN"/>
        </w:rPr>
      </w:pPr>
      <w:r>
        <w:rPr>
          <w:rFonts w:hint="eastAsia" w:ascii="楷体_GB2312" w:hAnsi="楷体_GB2312" w:eastAsia="楷体_GB2312" w:cs="楷体_GB2312"/>
          <w:b/>
          <w:bCs w:val="0"/>
          <w:color w:val="000000" w:themeColor="text1"/>
          <w:sz w:val="32"/>
          <w:szCs w:val="32"/>
          <w14:textFill>
            <w14:solidFill>
              <w14:schemeClr w14:val="tx1"/>
            </w14:solidFill>
          </w14:textFill>
        </w:rPr>
        <w:t>（一）</w:t>
      </w:r>
      <w:r>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t>主动公开。</w:t>
      </w:r>
      <w:r>
        <w:rPr>
          <w:rFonts w:hint="eastAsia" w:ascii="仿宋_GB2312" w:eastAsia="仿宋_GB2312"/>
          <w:b w:val="0"/>
          <w:bCs w:val="0"/>
          <w:sz w:val="32"/>
          <w:szCs w:val="32"/>
          <w:lang w:eastAsia="zh-CN"/>
        </w:rPr>
        <w:t>市开发区采取有效措施，不断深化政务公开工作，通过政务网平台、微信公众号，聚焦重点工作及时发布权威信息，加强招商政策、防疫政策宣传，通过微信</w:t>
      </w:r>
      <w:r>
        <w:rPr>
          <w:rFonts w:hint="eastAsia" w:ascii="仿宋_GB2312" w:hAnsi="仿宋_GB2312" w:eastAsia="仿宋_GB2312" w:cs="仿宋_GB2312"/>
          <w:sz w:val="32"/>
          <w:szCs w:val="32"/>
          <w:shd w:val="clear" w:color="auto" w:fill="FFFFFF"/>
          <w:lang w:val="en-US" w:eastAsia="zh-CN"/>
        </w:rPr>
        <w:t>公众号推送</w:t>
      </w:r>
      <w:r>
        <w:rPr>
          <w:rFonts w:hint="eastAsia" w:ascii="仿宋_GB2312" w:hAnsi="仿宋_GB2312" w:eastAsia="仿宋_GB2312" w:cs="仿宋_GB2312"/>
          <w:sz w:val="32"/>
          <w:szCs w:val="32"/>
          <w:shd w:val="clear" w:color="auto" w:fill="FFFFFF"/>
        </w:rPr>
        <w:t>全方位推进政务公开工作。今年以来，</w:t>
      </w:r>
      <w:r>
        <w:rPr>
          <w:rFonts w:hint="eastAsia" w:ascii="仿宋_GB2312" w:hAnsi="仿宋_GB2312" w:eastAsia="仿宋_GB2312" w:cs="仿宋_GB2312"/>
          <w:sz w:val="32"/>
          <w:szCs w:val="32"/>
          <w:shd w:val="clear" w:color="auto" w:fill="FFFFFF"/>
          <w:lang w:val="en-US" w:eastAsia="zh-CN"/>
        </w:rPr>
        <w:t>网站</w:t>
      </w:r>
      <w:r>
        <w:rPr>
          <w:rFonts w:hint="eastAsia" w:ascii="仿宋_GB2312" w:hAnsi="仿宋_GB2312" w:eastAsia="仿宋_GB2312" w:cs="仿宋_GB2312"/>
          <w:sz w:val="32"/>
          <w:szCs w:val="32"/>
          <w:shd w:val="clear" w:color="auto" w:fill="FFFFFF"/>
        </w:rPr>
        <w:t>累计更新发布各类信息</w:t>
      </w:r>
      <w:r>
        <w:rPr>
          <w:rFonts w:hint="eastAsia" w:ascii="仿宋_GB2312" w:hAnsi="仿宋_GB2312" w:eastAsia="仿宋_GB2312" w:cs="仿宋_GB2312"/>
          <w:sz w:val="32"/>
          <w:szCs w:val="32"/>
          <w:shd w:val="clear" w:color="auto" w:fill="FFFFFF"/>
          <w:lang w:val="en-US" w:eastAsia="zh-CN"/>
        </w:rPr>
        <w:t>835条</w:t>
      </w:r>
      <w:r>
        <w:rPr>
          <w:rFonts w:hint="eastAsia" w:ascii="仿宋_GB2312" w:hAnsi="仿宋_GB2312" w:eastAsia="仿宋_GB2312" w:cs="仿宋_GB2312"/>
          <w:sz w:val="32"/>
          <w:szCs w:val="32"/>
          <w:shd w:val="clear" w:color="auto" w:fill="FFFFFF"/>
        </w:rPr>
        <w:t>，其中，概况类信息</w:t>
      </w:r>
      <w:r>
        <w:rPr>
          <w:rFonts w:hint="eastAsia" w:ascii="仿宋_GB2312" w:hAnsi="仿宋_GB2312" w:eastAsia="仿宋_GB2312" w:cs="仿宋_GB2312"/>
          <w:sz w:val="32"/>
          <w:szCs w:val="32"/>
          <w:shd w:val="clear" w:color="auto" w:fill="FFFFFF"/>
          <w:lang w:val="en-US" w:eastAsia="zh-CN"/>
        </w:rPr>
        <w:t>573</w:t>
      </w:r>
      <w:r>
        <w:rPr>
          <w:rFonts w:hint="eastAsia" w:ascii="仿宋_GB2312" w:hAnsi="仿宋_GB2312" w:eastAsia="仿宋_GB2312" w:cs="仿宋_GB2312"/>
          <w:sz w:val="32"/>
          <w:szCs w:val="32"/>
          <w:shd w:val="clear" w:color="auto" w:fill="FFFFFF"/>
        </w:rPr>
        <w:t>条，政务动态信息</w:t>
      </w:r>
      <w:r>
        <w:rPr>
          <w:rFonts w:hint="eastAsia" w:ascii="仿宋_GB2312" w:hAnsi="仿宋_GB2312" w:eastAsia="仿宋_GB2312" w:cs="仿宋_GB2312"/>
          <w:sz w:val="32"/>
          <w:szCs w:val="32"/>
          <w:shd w:val="clear" w:color="auto" w:fill="FFFFFF"/>
          <w:lang w:val="en-US" w:eastAsia="zh-CN"/>
        </w:rPr>
        <w:t>141条，</w:t>
      </w:r>
      <w:r>
        <w:rPr>
          <w:rFonts w:hint="eastAsia" w:ascii="仿宋_GB2312" w:hAnsi="仿宋_GB2312" w:eastAsia="仿宋_GB2312" w:cs="仿宋_GB2312"/>
          <w:sz w:val="32"/>
          <w:szCs w:val="32"/>
          <w:shd w:val="clear" w:color="auto" w:fill="FFFFFF"/>
        </w:rPr>
        <w:t>信息公开目录信息</w:t>
      </w:r>
      <w:r>
        <w:rPr>
          <w:rFonts w:hint="eastAsia" w:ascii="仿宋_GB2312" w:hAnsi="仿宋_GB2312" w:eastAsia="仿宋_GB2312" w:cs="仿宋_GB2312"/>
          <w:sz w:val="32"/>
          <w:szCs w:val="32"/>
          <w:shd w:val="clear" w:color="auto" w:fill="FFFFFF"/>
          <w:lang w:val="en-US" w:eastAsia="zh-CN"/>
        </w:rPr>
        <w:t>121</w:t>
      </w:r>
      <w:r>
        <w:rPr>
          <w:rFonts w:hint="eastAsia" w:ascii="仿宋_GB2312" w:hAnsi="仿宋_GB2312" w:eastAsia="仿宋_GB2312" w:cs="仿宋_GB2312"/>
          <w:sz w:val="32"/>
          <w:szCs w:val="32"/>
          <w:shd w:val="clear" w:color="auto" w:fill="FFFFFF"/>
        </w:rPr>
        <w:t>条</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开设了7个专题专栏。公众号全年共发布信息1046条。</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0" w:firstLine="643" w:firstLineChars="200"/>
        <w:textAlignment w:val="auto"/>
        <w:rPr>
          <w:rFonts w:hint="default" w:ascii="仿宋_GB2312" w:hAnsi="仿宋_GB2312" w:eastAsia="仿宋_GB2312" w:cs="仿宋_GB2312"/>
          <w:color w:val="000000" w:themeColor="text1"/>
          <w:sz w:val="32"/>
          <w:szCs w:val="32"/>
          <w:lang w:val="en-US"/>
          <w14:textFill>
            <w14:solidFill>
              <w14:schemeClr w14:val="tx1"/>
            </w14:solidFill>
          </w14:textFill>
        </w:rPr>
      </w:pPr>
      <w:r>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t>（二）依申请公开，为做好本年度政府公开工作。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按要求</w:t>
      </w:r>
      <w:r>
        <w:rPr>
          <w:rFonts w:hint="eastAsia" w:ascii="仿宋_GB2312" w:eastAsia="仿宋_GB2312"/>
          <w:b w:val="0"/>
          <w:bCs w:val="0"/>
          <w:sz w:val="32"/>
          <w:szCs w:val="32"/>
          <w:lang w:eastAsia="zh-CN"/>
        </w:rPr>
        <w:t>成立了政务公开工作领导小组，由</w:t>
      </w:r>
      <w:r>
        <w:rPr>
          <w:rFonts w:hint="eastAsia" w:ascii="仿宋_GB2312" w:eastAsia="仿宋_GB2312"/>
          <w:b w:val="0"/>
          <w:bCs w:val="0"/>
          <w:sz w:val="32"/>
          <w:szCs w:val="32"/>
        </w:rPr>
        <w:t>党工委书记、主任任组长，副书记、副主任任副组长，其他班子成员任组员</w:t>
      </w:r>
      <w:r>
        <w:rPr>
          <w:rFonts w:hint="eastAsia" w:ascii="仿宋_GB2312" w:eastAsia="仿宋_GB2312"/>
          <w:b w:val="0"/>
          <w:bCs w:val="0"/>
          <w:sz w:val="32"/>
          <w:szCs w:val="32"/>
          <w:lang w:eastAsia="zh-CN"/>
        </w:rPr>
        <w:t>，负责协调推进政务公开工作开展，并</w:t>
      </w:r>
      <w:r>
        <w:rPr>
          <w:rFonts w:hint="eastAsia" w:ascii="仿宋_GB2312" w:eastAsia="仿宋_GB2312"/>
          <w:b w:val="0"/>
          <w:bCs w:val="0"/>
          <w:sz w:val="32"/>
          <w:szCs w:val="32"/>
        </w:rPr>
        <w:t>牵头组织研究和</w:t>
      </w:r>
      <w:r>
        <w:rPr>
          <w:rFonts w:hint="eastAsia" w:ascii="仿宋_GB2312" w:eastAsia="仿宋_GB2312"/>
          <w:b w:val="0"/>
          <w:bCs w:val="0"/>
          <w:sz w:val="32"/>
          <w:szCs w:val="32"/>
          <w:lang w:eastAsia="zh-CN"/>
        </w:rPr>
        <w:t>梳理</w:t>
      </w:r>
      <w:r>
        <w:rPr>
          <w:rFonts w:hint="eastAsia" w:ascii="仿宋_GB2312" w:eastAsia="仿宋_GB2312"/>
          <w:b w:val="0"/>
          <w:bCs w:val="0"/>
          <w:sz w:val="32"/>
          <w:szCs w:val="32"/>
        </w:rPr>
        <w:t>政务公开过程中遇到的问题</w:t>
      </w:r>
      <w:r>
        <w:rPr>
          <w:rFonts w:hint="eastAsia" w:ascii="仿宋_GB2312" w:eastAsia="仿宋_GB2312"/>
          <w:b w:val="0"/>
          <w:bCs w:val="0"/>
          <w:sz w:val="32"/>
          <w:szCs w:val="32"/>
          <w:lang w:eastAsia="zh-CN"/>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明确依申请公开的工作流程和相关信息，有序推进政府点公开和依申请公开政府信息工作。全年共接收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件政府信息公开申请，均及时答复申请，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并按申请人要求方式将告知书送达申请人。</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sz w:val="32"/>
          <w:szCs w:val="32"/>
          <w:shd w:val="clear" w:color="auto" w:fill="FFFFFF"/>
          <w:lang w:val="en-US" w:eastAsia="zh-CN"/>
        </w:rPr>
      </w:pPr>
      <w:r>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t>（三）政府信息管理。</w:t>
      </w:r>
      <w:r>
        <w:rPr>
          <w:rFonts w:hint="eastAsia" w:ascii="仿宋_GB2312" w:hAnsi="仿宋_GB2312" w:eastAsia="仿宋_GB2312" w:cs="仿宋_GB2312"/>
          <w:sz w:val="32"/>
          <w:szCs w:val="32"/>
          <w:shd w:val="clear" w:color="auto" w:fill="FFFFFF"/>
          <w:lang w:val="en-US" w:eastAsia="zh-CN"/>
        </w:rPr>
        <w:t>加强信息发布管理，进一步压实主体责任，严格履行信息发布审查程序，严格执行三级审查制度，在公开工作中增强规范意识，完善政府信息公开保密审查制度，依法依规严格做好保密审查工作，没有泄露国家秘密、工作秘密和敏感信息，进一步规范了网站管理，防范了因数据汇聚引发的泄露风险。</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_GB2312" w:hAnsi="仿宋_GB2312" w:eastAsia="仿宋_GB2312" w:cs="仿宋_GB2312"/>
          <w:sz w:val="32"/>
          <w:szCs w:val="32"/>
          <w:shd w:val="clear" w:color="auto" w:fill="FFFFFF"/>
          <w:lang w:val="en-US" w:eastAsia="zh-CN"/>
        </w:rPr>
      </w:pPr>
      <w:r>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t>（四）政府信息公开平台建设。</w:t>
      </w:r>
      <w:r>
        <w:rPr>
          <w:rFonts w:hint="eastAsia" w:ascii="仿宋_GB2312" w:hAnsi="仿宋_GB2312" w:eastAsia="仿宋_GB2312" w:cs="仿宋_GB2312"/>
          <w:sz w:val="32"/>
          <w:szCs w:val="32"/>
          <w:shd w:val="clear" w:color="auto" w:fill="FFFFFF"/>
          <w:lang w:val="en-US" w:eastAsia="zh-CN"/>
        </w:rPr>
        <w:t>开发区积极保障和改善政务公开条件及经费，将政务公开专项培训经费、政府信息公开平台升级、开发区门户网站信息公开由开发区营商局负责人和主管领导及2名技术人员负责政务信息的审核、发布及网站的正常维护，有效保障了政务信息及时准确公开。充分运用政务新媒体，单位同事以及广大市民朋友们可以通过微信公众号了解开发区工作动态，既方便又快捷。</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textAlignment w:val="auto"/>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pPr>
      <w:r>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t>监督保障</w:t>
      </w:r>
      <w:r>
        <w:rPr>
          <w:rFonts w:hint="eastAsia" w:ascii="仿宋" w:hAnsi="仿宋" w:eastAsia="仿宋" w:cs="仿宋"/>
          <w:sz w:val="32"/>
          <w:szCs w:val="40"/>
          <w:lang w:eastAsia="zh-CN"/>
        </w:rPr>
        <w:t>。按照市“四个体系”明确责任部门、责任领导和时限要求，逐项推动落实，进一步规范政务公开工作，常态化监督，确保信息准确并及时更新</w:t>
      </w:r>
      <w:r>
        <w:rPr>
          <w:rFonts w:hint="eastAsia" w:ascii="楷体_GB2312" w:hAnsi="楷体_GB2312" w:eastAsia="楷体_GB2312" w:cs="楷体_GB2312"/>
          <w:b/>
          <w:bCs w:val="0"/>
          <w:color w:val="000000" w:themeColor="text1"/>
          <w:sz w:val="32"/>
          <w:szCs w:val="32"/>
          <w:lang w:eastAsia="zh-CN"/>
          <w14:textFill>
            <w14:solidFill>
              <w14:schemeClr w14:val="tx1"/>
            </w14:solidFill>
          </w14:textFill>
        </w:rPr>
        <w:t>。</w:t>
      </w:r>
    </w:p>
    <w:p>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firstLine="640" w:firstLineChars="200"/>
        <w:textAlignment w:val="auto"/>
        <w:rPr>
          <w:rFonts w:hint="eastAsia" w:ascii="黑体" w:hAnsi="黑体" w:eastAsia="黑体" w:cs="黑体"/>
          <w:b w:val="0"/>
          <w:bCs/>
          <w:color w:val="333333"/>
          <w:kern w:val="0"/>
          <w:sz w:val="32"/>
          <w:szCs w:val="32"/>
          <w:lang w:val="en-US" w:eastAsia="zh-CN" w:bidi="ar"/>
        </w:rPr>
      </w:pPr>
      <w:r>
        <w:rPr>
          <w:rFonts w:hint="eastAsia" w:ascii="黑体" w:hAnsi="黑体" w:eastAsia="黑体" w:cs="黑体"/>
          <w:b w:val="0"/>
          <w:bCs/>
          <w:color w:val="333333"/>
          <w:kern w:val="0"/>
          <w:sz w:val="32"/>
          <w:szCs w:val="32"/>
          <w:lang w:val="en-US" w:eastAsia="zh-CN" w:bidi="ar"/>
        </w:rPr>
        <w:t>二、主动公开政府信息情况</w:t>
      </w:r>
    </w:p>
    <w:tbl>
      <w:tblPr>
        <w:tblStyle w:val="7"/>
        <w:tblpPr w:leftFromText="180" w:rightFromText="180" w:vertAnchor="text" w:horzAnchor="page" w:tblpX="2004" w:tblpY="230"/>
        <w:tblOverlap w:val="never"/>
        <w:tblW w:w="8140" w:type="dxa"/>
        <w:tblInd w:w="0" w:type="dxa"/>
        <w:tblLayout w:type="fixed"/>
        <w:tblCellMar>
          <w:top w:w="0" w:type="dxa"/>
          <w:left w:w="0" w:type="dxa"/>
          <w:bottom w:w="0" w:type="dxa"/>
          <w:right w:w="0" w:type="dxa"/>
        </w:tblCellMar>
      </w:tblPr>
      <w:tblGrid>
        <w:gridCol w:w="3113"/>
        <w:gridCol w:w="1869"/>
        <w:gridCol w:w="1277"/>
        <w:gridCol w:w="1881"/>
      </w:tblGrid>
      <w:tr>
        <w:tblPrEx>
          <w:tblCellMar>
            <w:top w:w="0" w:type="dxa"/>
            <w:left w:w="0" w:type="dxa"/>
            <w:bottom w:w="0" w:type="dxa"/>
            <w:right w:w="0" w:type="dxa"/>
          </w:tblCellMar>
        </w:tblPrEx>
        <w:trPr>
          <w:trHeight w:val="495" w:hRule="atLeast"/>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b/>
                <w:bCs/>
                <w:color w:val="000000"/>
                <w:kern w:val="0"/>
                <w:sz w:val="20"/>
                <w:szCs w:val="20"/>
              </w:rPr>
              <w:t>第二十条第（一）项</w:t>
            </w:r>
          </w:p>
        </w:tc>
      </w:tr>
      <w:tr>
        <w:tblPrEx>
          <w:tblCellMar>
            <w:top w:w="0" w:type="dxa"/>
            <w:left w:w="0" w:type="dxa"/>
            <w:bottom w:w="0" w:type="dxa"/>
            <w:right w:w="0" w:type="dxa"/>
          </w:tblCellMar>
        </w:tblPrEx>
        <w:trPr>
          <w:trHeight w:val="882" w:hRule="atLeast"/>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69"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rPr>
              <w:t>本年</w:t>
            </w:r>
            <w:r>
              <w:rPr>
                <w:rFonts w:hint="eastAsia" w:ascii="宋体" w:hAnsi="宋体" w:cs="宋体"/>
                <w:color w:val="000000"/>
                <w:kern w:val="0"/>
                <w:sz w:val="20"/>
                <w:szCs w:val="20"/>
                <w:lang w:eastAsia="zh-CN"/>
              </w:rPr>
              <w:t>制发件数</w:t>
            </w:r>
          </w:p>
        </w:tc>
        <w:tc>
          <w:tcPr>
            <w:tcW w:w="127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eastAsia="zh-CN"/>
              </w:rPr>
            </w:pPr>
            <w:r>
              <w:rPr>
                <w:rFonts w:hint="eastAsia" w:ascii="宋体" w:hAnsi="宋体" w:cs="宋体"/>
                <w:color w:val="000000"/>
                <w:kern w:val="0"/>
                <w:sz w:val="20"/>
                <w:szCs w:val="20"/>
              </w:rPr>
              <w:t>本年</w:t>
            </w:r>
            <w:r>
              <w:rPr>
                <w:rFonts w:hint="eastAsia" w:ascii="宋体" w:hAnsi="宋体" w:cs="宋体"/>
                <w:color w:val="000000"/>
                <w:kern w:val="0"/>
                <w:sz w:val="20"/>
                <w:szCs w:val="20"/>
                <w:lang w:eastAsia="zh-CN"/>
              </w:rPr>
              <w:t>废制件数</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eastAsia="zh-CN"/>
              </w:rPr>
            </w:pPr>
            <w:r>
              <w:rPr>
                <w:rFonts w:hint="eastAsia" w:ascii="宋体" w:hAnsi="宋体" w:cs="宋体"/>
                <w:color w:val="000000"/>
                <w:kern w:val="0"/>
                <w:sz w:val="20"/>
                <w:szCs w:val="20"/>
                <w:lang w:eastAsia="zh-CN"/>
              </w:rPr>
              <w:t>现行有效件数</w:t>
            </w:r>
          </w:p>
        </w:tc>
      </w:tr>
      <w:tr>
        <w:tblPrEx>
          <w:tblCellMar>
            <w:top w:w="0" w:type="dxa"/>
            <w:left w:w="0" w:type="dxa"/>
            <w:bottom w:w="0" w:type="dxa"/>
            <w:right w:w="0" w:type="dxa"/>
          </w:tblCellMar>
        </w:tblPrEx>
        <w:trPr>
          <w:trHeight w:val="523" w:hRule="atLeast"/>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规章</w:t>
            </w:r>
          </w:p>
        </w:tc>
        <w:tc>
          <w:tcPr>
            <w:tcW w:w="186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c>
          <w:tcPr>
            <w:tcW w:w="127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71" w:hRule="atLeast"/>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规范性文件</w:t>
            </w:r>
          </w:p>
        </w:tc>
        <w:tc>
          <w:tcPr>
            <w:tcW w:w="186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c>
          <w:tcPr>
            <w:tcW w:w="127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80" w:hRule="atLeast"/>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b/>
                <w:bCs/>
                <w:color w:val="000000"/>
                <w:kern w:val="0"/>
                <w:sz w:val="20"/>
                <w:szCs w:val="20"/>
              </w:rPr>
              <w:t>第二十条第（五）项</w:t>
            </w:r>
          </w:p>
        </w:tc>
      </w:tr>
      <w:tr>
        <w:tblPrEx>
          <w:tblCellMar>
            <w:top w:w="0" w:type="dxa"/>
            <w:left w:w="0" w:type="dxa"/>
            <w:bottom w:w="0" w:type="dxa"/>
            <w:right w:w="0" w:type="dxa"/>
          </w:tblCellMar>
        </w:tblPrEx>
        <w:trPr>
          <w:trHeight w:val="634" w:hRule="atLeast"/>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5027" w:type="dxa"/>
            <w:gridSpan w:val="3"/>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eastAsia="zh-CN"/>
              </w:rPr>
            </w:pPr>
            <w:r>
              <w:rPr>
                <w:rFonts w:hint="eastAsia" w:ascii="宋体" w:hAnsi="宋体" w:cs="宋体"/>
                <w:color w:val="000000"/>
                <w:kern w:val="0"/>
                <w:sz w:val="20"/>
                <w:szCs w:val="20"/>
                <w:lang w:eastAsia="zh-CN"/>
              </w:rPr>
              <w:t>本年处理决定数量</w:t>
            </w:r>
          </w:p>
        </w:tc>
      </w:tr>
      <w:tr>
        <w:tblPrEx>
          <w:tblCellMar>
            <w:top w:w="0" w:type="dxa"/>
            <w:left w:w="0" w:type="dxa"/>
            <w:bottom w:w="0" w:type="dxa"/>
            <w:right w:w="0" w:type="dxa"/>
          </w:tblCellMar>
        </w:tblPrEx>
        <w:trPr>
          <w:trHeight w:val="486" w:hRule="atLeast"/>
        </w:trPr>
        <w:tc>
          <w:tcPr>
            <w:tcW w:w="3113" w:type="dxa"/>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r>
              <w:rPr>
                <w:rFonts w:hint="eastAsia" w:ascii="宋体" w:hAnsi="宋体" w:cs="宋体"/>
                <w:color w:val="000000"/>
                <w:kern w:val="0"/>
                <w:sz w:val="20"/>
                <w:szCs w:val="20"/>
              </w:rPr>
              <w:t>行政许可</w:t>
            </w:r>
          </w:p>
        </w:tc>
        <w:tc>
          <w:tcPr>
            <w:tcW w:w="5027" w:type="dxa"/>
            <w:gridSpan w:val="3"/>
            <w:tcBorders>
              <w:top w:val="nil"/>
              <w:left w:val="nil"/>
              <w:bottom w:val="single" w:color="auto" w:sz="8" w:space="0"/>
              <w:right w:val="single" w:color="auto" w:sz="8" w:space="0"/>
            </w:tcBorders>
            <w:noWrap/>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06" w:hRule="atLeast"/>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b/>
                <w:bCs/>
                <w:kern w:val="0"/>
                <w:sz w:val="24"/>
              </w:rPr>
            </w:pPr>
            <w:r>
              <w:rPr>
                <w:rFonts w:hint="eastAsia" w:ascii="宋体" w:hAnsi="宋体" w:cs="宋体"/>
                <w:b/>
                <w:bCs/>
                <w:color w:val="000000"/>
                <w:kern w:val="0"/>
                <w:sz w:val="20"/>
                <w:szCs w:val="20"/>
              </w:rPr>
              <w:t>第二十条第（六）项</w:t>
            </w:r>
          </w:p>
        </w:tc>
      </w:tr>
      <w:tr>
        <w:tblPrEx>
          <w:tblCellMar>
            <w:top w:w="0" w:type="dxa"/>
            <w:left w:w="0" w:type="dxa"/>
            <w:bottom w:w="0" w:type="dxa"/>
            <w:right w:w="0" w:type="dxa"/>
          </w:tblCellMar>
        </w:tblPrEx>
        <w:trPr>
          <w:trHeight w:val="634" w:hRule="atLeast"/>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69"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tblPrEx>
          <w:tblCellMar>
            <w:top w:w="0" w:type="dxa"/>
            <w:left w:w="0" w:type="dxa"/>
            <w:bottom w:w="0" w:type="dxa"/>
            <w:right w:w="0" w:type="dxa"/>
          </w:tblCellMar>
        </w:tblPrEx>
        <w:trPr>
          <w:trHeight w:val="430" w:hRule="atLeast"/>
        </w:trPr>
        <w:tc>
          <w:tcPr>
            <w:tcW w:w="3113" w:type="dxa"/>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r>
              <w:rPr>
                <w:rFonts w:hint="eastAsia" w:ascii="宋体" w:hAnsi="宋体" w:cs="宋体"/>
                <w:color w:val="000000"/>
                <w:kern w:val="0"/>
                <w:sz w:val="20"/>
                <w:szCs w:val="20"/>
              </w:rPr>
              <w:t>行政处罚</w:t>
            </w:r>
          </w:p>
        </w:tc>
        <w:tc>
          <w:tcPr>
            <w:tcW w:w="5027" w:type="dxa"/>
            <w:gridSpan w:val="3"/>
            <w:tcBorders>
              <w:top w:val="nil"/>
              <w:left w:val="nil"/>
              <w:bottom w:val="single" w:color="auto" w:sz="8" w:space="0"/>
              <w:right w:val="single" w:color="auto" w:sz="8" w:space="0"/>
            </w:tcBorders>
            <w:noWrap/>
            <w:vAlign w:val="center"/>
          </w:tcPr>
          <w:p>
            <w:pPr>
              <w:widowControl/>
              <w:jc w:val="center"/>
              <w:rPr>
                <w:rFonts w:hint="default" w:ascii="宋体" w:hAnsi="宋体" w:cs="宋体" w:eastAsiaTheme="minorEastAsia"/>
                <w:kern w:val="0"/>
                <w:sz w:val="24"/>
                <w:lang w:val="en-US" w:eastAsia="zh-CN"/>
              </w:rPr>
            </w:pPr>
            <w:r>
              <w:rPr>
                <w:rFonts w:hint="eastAsia" w:ascii="宋体" w:hAnsi="宋体" w:cs="宋体"/>
                <w:kern w:val="0"/>
                <w:sz w:val="24"/>
                <w:lang w:val="en-US" w:eastAsia="zh-CN"/>
              </w:rPr>
              <w:t>0</w:t>
            </w:r>
          </w:p>
        </w:tc>
      </w:tr>
      <w:tr>
        <w:tblPrEx>
          <w:tblCellMar>
            <w:top w:w="0" w:type="dxa"/>
            <w:left w:w="0" w:type="dxa"/>
            <w:bottom w:w="0" w:type="dxa"/>
            <w:right w:w="0" w:type="dxa"/>
          </w:tblCellMar>
        </w:tblPrEx>
        <w:trPr>
          <w:trHeight w:val="409" w:hRule="atLeast"/>
        </w:trPr>
        <w:tc>
          <w:tcPr>
            <w:tcW w:w="3113" w:type="dxa"/>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r>
              <w:rPr>
                <w:rFonts w:hint="eastAsia" w:ascii="宋体" w:hAnsi="宋体" w:cs="宋体"/>
                <w:color w:val="000000"/>
                <w:kern w:val="0"/>
                <w:sz w:val="20"/>
                <w:szCs w:val="20"/>
              </w:rPr>
              <w:t>行政强制</w:t>
            </w:r>
          </w:p>
        </w:tc>
        <w:tc>
          <w:tcPr>
            <w:tcW w:w="5027" w:type="dxa"/>
            <w:gridSpan w:val="3"/>
            <w:tcBorders>
              <w:top w:val="nil"/>
              <w:left w:val="nil"/>
              <w:bottom w:val="single" w:color="auto" w:sz="8" w:space="0"/>
              <w:right w:val="single" w:color="auto" w:sz="8" w:space="0"/>
            </w:tcBorders>
            <w:noWrap/>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74" w:hRule="atLeast"/>
        </w:trPr>
        <w:tc>
          <w:tcPr>
            <w:tcW w:w="8140"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第二十条第（八）项</w:t>
            </w:r>
          </w:p>
        </w:tc>
      </w:tr>
      <w:tr>
        <w:tblPrEx>
          <w:tblCellMar>
            <w:top w:w="0" w:type="dxa"/>
            <w:left w:w="0" w:type="dxa"/>
            <w:bottom w:w="0" w:type="dxa"/>
            <w:right w:w="0" w:type="dxa"/>
          </w:tblCellMar>
        </w:tblPrEx>
        <w:trPr>
          <w:trHeight w:val="270" w:hRule="atLeast"/>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6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上一年项目数量</w:t>
            </w:r>
          </w:p>
        </w:tc>
        <w:tc>
          <w:tcPr>
            <w:tcW w:w="3158"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r>
      <w:tr>
        <w:tblPrEx>
          <w:tblCellMar>
            <w:top w:w="0" w:type="dxa"/>
            <w:left w:w="0" w:type="dxa"/>
            <w:bottom w:w="0" w:type="dxa"/>
            <w:right w:w="0" w:type="dxa"/>
          </w:tblCellMar>
        </w:tblPrEx>
        <w:trPr>
          <w:trHeight w:val="551" w:hRule="atLeast"/>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行政事业性收费</w:t>
            </w:r>
          </w:p>
        </w:tc>
        <w:tc>
          <w:tcPr>
            <w:tcW w:w="1869"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lang w:val="en-US" w:eastAsia="zh-CN"/>
              </w:rPr>
              <w:t>0</w:t>
            </w:r>
          </w:p>
        </w:tc>
        <w:tc>
          <w:tcPr>
            <w:tcW w:w="3158"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40" w:lineRule="exact"/>
        <w:ind w:right="0" w:firstLine="640" w:firstLineChars="200"/>
        <w:jc w:val="left"/>
        <w:textAlignment w:val="auto"/>
        <w:rPr>
          <w:rFonts w:hint="eastAsia" w:ascii="宋体" w:hAnsi="宋体" w:cs="宋体"/>
          <w:b w:val="0"/>
          <w:bCs/>
          <w:color w:val="333333"/>
          <w:kern w:val="0"/>
          <w:sz w:val="24"/>
        </w:rPr>
      </w:pPr>
      <w:r>
        <w:rPr>
          <w:rFonts w:hint="eastAsia" w:ascii="黑体" w:hAnsi="黑体" w:eastAsia="黑体" w:cs="黑体"/>
          <w:b w:val="0"/>
          <w:bCs/>
          <w:color w:val="333333"/>
          <w:kern w:val="0"/>
          <w:sz w:val="32"/>
          <w:szCs w:val="32"/>
          <w:lang w:val="en-US" w:eastAsia="zh-CN" w:bidi="ar"/>
        </w:rPr>
        <w:t>三、收到和处理政府信息公开申请情况</w:t>
      </w:r>
    </w:p>
    <w:tbl>
      <w:tblPr>
        <w:tblStyle w:val="7"/>
        <w:tblW w:w="9071" w:type="dxa"/>
        <w:jc w:val="center"/>
        <w:tblLayout w:type="autofit"/>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2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自然人</w:t>
            </w:r>
          </w:p>
        </w:tc>
        <w:tc>
          <w:tcPr>
            <w:tcW w:w="4065"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法人或其他组织</w:t>
            </w:r>
          </w:p>
        </w:tc>
        <w:tc>
          <w:tcPr>
            <w:tcW w:w="702"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商业企业</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科研机构</w:t>
            </w:r>
          </w:p>
        </w:tc>
        <w:tc>
          <w:tcPr>
            <w:tcW w:w="82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社会公益组织</w:t>
            </w:r>
          </w:p>
        </w:tc>
        <w:tc>
          <w:tcPr>
            <w:tcW w:w="9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法律服务机构</w:t>
            </w:r>
          </w:p>
        </w:tc>
        <w:tc>
          <w:tcPr>
            <w:tcW w:w="72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r>
              <w:rPr>
                <w:rFonts w:hint="eastAsia" w:ascii="宋体" w:hAnsi="宋体" w:cs="宋体"/>
                <w:kern w:val="0"/>
                <w:sz w:val="20"/>
                <w:szCs w:val="20"/>
              </w:rPr>
              <w:t>一、本年新收政府信息公开申请数量</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 xml:space="preserve"> 1</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 xml:space="preserve"> 0</w:t>
            </w:r>
            <w:r>
              <w:rPr>
                <w:rFonts w:ascii="Calibri" w:hAnsi="Calibri" w:cs="宋体"/>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1</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r>
              <w:rPr>
                <w:rFonts w:hint="eastAsia" w:ascii="宋体" w:hAnsi="宋体" w:cs="宋体"/>
                <w:kern w:val="0"/>
                <w:sz w:val="20"/>
                <w:szCs w:val="20"/>
              </w:rPr>
              <w:t>二、上年结转政府信息公开申请数量</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 xml:space="preserve"> 0</w:t>
            </w:r>
            <w:r>
              <w:rPr>
                <w:rFonts w:ascii="Calibri" w:hAnsi="Calibri" w:cs="宋体"/>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 xml:space="preserve"> 0</w:t>
            </w:r>
            <w:r>
              <w:rPr>
                <w:rFonts w:ascii="Calibri" w:hAnsi="Calibri" w:cs="宋体"/>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 xml:space="preserve"> 0</w:t>
            </w:r>
            <w:r>
              <w:rPr>
                <w:rFonts w:ascii="Calibri" w:hAnsi="Calibri" w:cs="宋体"/>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r>
      <w:tr>
        <w:tblPrEx>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三、本年度办理结果</w:t>
            </w:r>
          </w:p>
        </w:tc>
        <w:tc>
          <w:tcPr>
            <w:tcW w:w="2985" w:type="dxa"/>
            <w:gridSpan w:val="2"/>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r>
              <w:rPr>
                <w:rFonts w:hint="eastAsia" w:ascii="楷体" w:hAnsi="宋体" w:eastAsia="楷体" w:cs="宋体"/>
                <w:kern w:val="0"/>
                <w:sz w:val="20"/>
                <w:szCs w:val="20"/>
              </w:rPr>
              <w:t>（一）予以公开</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Calibri" w:hAnsi="Calibri" w:cs="宋体"/>
                <w:kern w:val="0"/>
                <w:sz w:val="20"/>
                <w:szCs w:val="20"/>
                <w:lang w:val="en-US" w:eastAsia="zh-CN"/>
              </w:rPr>
              <w:t>1</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 xml:space="preserve"> 0</w:t>
            </w:r>
            <w:r>
              <w:rPr>
                <w:rFonts w:ascii="Calibri" w:hAnsi="Calibri" w:cs="宋体"/>
                <w:kern w:val="0"/>
                <w:sz w:val="20"/>
                <w:szCs w:val="20"/>
              </w:rPr>
              <w:t> </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 xml:space="preserve"> 0</w:t>
            </w:r>
            <w:r>
              <w:rPr>
                <w:rFonts w:ascii="Calibri" w:hAnsi="Calibri" w:cs="宋体"/>
                <w:kern w:val="0"/>
                <w:sz w:val="20"/>
                <w:szCs w:val="20"/>
              </w:rPr>
              <w:t> </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0</w:t>
            </w:r>
            <w:r>
              <w:rPr>
                <w:rFonts w:ascii="Calibri" w:hAnsi="Calibri" w:cs="宋体"/>
                <w:kern w:val="0"/>
                <w:sz w:val="20"/>
                <w:szCs w:val="20"/>
              </w:rPr>
              <w:t> </w:t>
            </w:r>
          </w:p>
        </w:tc>
        <w:tc>
          <w:tcPr>
            <w:tcW w:w="70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宋体"/>
                <w:kern w:val="0"/>
                <w:sz w:val="20"/>
                <w:szCs w:val="20"/>
                <w:lang w:val="en-US" w:eastAsia="zh-CN"/>
              </w:rPr>
              <w:t>1</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85" w:type="dxa"/>
            <w:gridSpan w:val="2"/>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r>
              <w:rPr>
                <w:rFonts w:hint="eastAsia" w:ascii="楷体" w:hAnsi="宋体" w:eastAsia="楷体" w:cs="宋体"/>
                <w:kern w:val="0"/>
                <w:sz w:val="20"/>
                <w:szCs w:val="20"/>
              </w:rPr>
              <w:t>（二）部分公开（区分处理的，只计这一情形，不计其他情形）</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（三）不予公开</w:t>
            </w: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1.属于国家秘密</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2.其他法律行政法规禁止公开</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3.危及“三安全一稳定”</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4.保护第三方合法权益</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5.属于三类内部事务信息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6.属于四类过程性信息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7.属于行政执法案卷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8.属于行政查询事项</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（四）无法提供</w:t>
            </w: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1.本机关不掌握相关政府信息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2.没有现成信息需要另行制作</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3.补正后申请内容仍不明确</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5"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（五）不予处理</w:t>
            </w: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1.信访举报投诉类申请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2.重复申请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3.要求提供公开出版物</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4.无正当理由大量反复申请</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213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楷体" w:hAnsi="宋体" w:eastAsia="楷体" w:cs="宋体"/>
                <w:kern w:val="0"/>
                <w:sz w:val="20"/>
                <w:szCs w:val="20"/>
              </w:rPr>
              <w:t>5.要求行政机关确认或重新出具已获取信息</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85" w:type="dxa"/>
            <w:gridSpan w:val="2"/>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r>
              <w:rPr>
                <w:rFonts w:hint="eastAsia" w:ascii="楷体" w:hAnsi="宋体" w:eastAsia="楷体" w:cs="宋体"/>
                <w:kern w:val="0"/>
                <w:sz w:val="20"/>
                <w:szCs w:val="20"/>
              </w:rPr>
              <w:t>（六）其他处理</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85" w:type="dxa"/>
            <w:gridSpan w:val="2"/>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r>
              <w:rPr>
                <w:rFonts w:hint="eastAsia" w:ascii="楷体" w:hAnsi="宋体" w:eastAsia="楷体" w:cs="宋体"/>
                <w:kern w:val="0"/>
                <w:sz w:val="20"/>
                <w:szCs w:val="20"/>
              </w:rPr>
              <w:t>（七）总计</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hint="eastAsia" w:ascii="Calibri" w:hAnsi="Calibri" w:cs="宋体"/>
                <w:kern w:val="0"/>
                <w:sz w:val="20"/>
                <w:szCs w:val="20"/>
                <w:lang w:val="en-US" w:eastAsia="zh-CN"/>
              </w:rPr>
              <w:t>1</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1</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r>
              <w:rPr>
                <w:rFonts w:hint="eastAsia" w:ascii="宋体" w:hAnsi="宋体" w:cs="宋体"/>
                <w:kern w:val="0"/>
                <w:sz w:val="20"/>
                <w:szCs w:val="20"/>
              </w:rPr>
              <w:t>四、结转下年度继续办理</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6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82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99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2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70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ind w:firstLine="200" w:firstLineChars="100"/>
              <w:jc w:val="left"/>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640" w:lineRule="exact"/>
        <w:ind w:right="0" w:firstLine="640" w:firstLineChars="200"/>
        <w:jc w:val="left"/>
        <w:textAlignment w:val="auto"/>
        <w:rPr>
          <w:rFonts w:hint="eastAsia" w:ascii="黑体" w:hAnsi="黑体" w:eastAsia="黑体" w:cs="黑体"/>
          <w:b w:val="0"/>
          <w:bCs/>
          <w:color w:val="333333"/>
          <w:kern w:val="0"/>
          <w:sz w:val="32"/>
          <w:szCs w:val="32"/>
          <w:lang w:val="en-US" w:eastAsia="zh-CN" w:bidi="ar"/>
        </w:rPr>
      </w:pPr>
      <w:r>
        <w:rPr>
          <w:rFonts w:hint="eastAsia" w:ascii="黑体" w:hAnsi="黑体" w:eastAsia="黑体" w:cs="黑体"/>
          <w:b w:val="0"/>
          <w:bCs/>
          <w:color w:val="333333"/>
          <w:kern w:val="0"/>
          <w:sz w:val="32"/>
          <w:szCs w:val="32"/>
          <w:lang w:val="en-US" w:eastAsia="zh-CN" w:bidi="ar"/>
        </w:rPr>
        <w:t>四、政府信息公开行政复议、行政诉讼情况</w:t>
      </w:r>
    </w:p>
    <w:tbl>
      <w:tblPr>
        <w:tblStyle w:val="7"/>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val="en-US" w:eastAsia="zh-CN"/>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eastAsia="zh-CN"/>
              </w:rPr>
            </w:pPr>
            <w:r>
              <w:rPr>
                <w:rFonts w:hint="eastAsia" w:ascii="Calibri" w:hAnsi="Calibri" w:cs="宋体"/>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5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eastAsia="zh-CN"/>
              </w:rPr>
            </w:pPr>
            <w:r>
              <w:rPr>
                <w:rFonts w:hint="eastAsia" w:ascii="Calibri" w:hAnsi="Calibri" w:cs="宋体"/>
                <w:kern w:val="0"/>
                <w:sz w:val="20"/>
                <w:szCs w:val="20"/>
                <w:lang w:val="en-US" w:eastAsia="zh-CN"/>
              </w:rPr>
              <w:t>0</w:t>
            </w: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eastAsia="zh-CN"/>
              </w:rPr>
            </w:pPr>
            <w:r>
              <w:rPr>
                <w:rFonts w:hint="eastAsia" w:ascii="Calibri" w:hAnsi="Calibri"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cs="宋体" w:eastAsiaTheme="minorEastAsia"/>
                <w:kern w:val="0"/>
                <w:sz w:val="24"/>
                <w:lang w:eastAsia="zh-CN"/>
              </w:rPr>
            </w:pPr>
            <w:r>
              <w:rPr>
                <w:rFonts w:hint="eastAsia" w:ascii="Calibri" w:hAnsi="Calibri"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ascii="Calibri" w:hAnsi="Calibri" w:cs="宋体"/>
                <w:kern w:val="0"/>
                <w:sz w:val="20"/>
                <w:szCs w:val="20"/>
              </w:rPr>
              <w:t> </w:t>
            </w:r>
            <w:r>
              <w:rPr>
                <w:rFonts w:hint="eastAsia" w:ascii="Calibri" w:hAnsi="Calibri" w:cs="宋体"/>
                <w:kern w:val="0"/>
                <w:sz w:val="20"/>
                <w:szCs w:val="20"/>
                <w:lang w:val="en-US" w:eastAsia="zh-CN"/>
              </w:rPr>
              <w:t>0</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1" w:line="560" w:lineRule="exact"/>
        <w:ind w:right="0" w:rightChars="0" w:firstLine="640" w:firstLineChars="200"/>
        <w:jc w:val="left"/>
        <w:textAlignment w:val="auto"/>
        <w:rPr>
          <w:rFonts w:hint="eastAsia" w:ascii="黑体" w:hAnsi="黑体" w:eastAsia="黑体" w:cs="黑体"/>
          <w:b w:val="0"/>
          <w:bCs/>
          <w:color w:val="333333"/>
          <w:kern w:val="0"/>
          <w:sz w:val="32"/>
          <w:szCs w:val="32"/>
          <w:lang w:val="en-US" w:eastAsia="zh-CN" w:bidi="ar"/>
        </w:rPr>
      </w:pPr>
      <w:r>
        <w:rPr>
          <w:rFonts w:hint="eastAsia" w:ascii="黑体" w:hAnsi="黑体" w:eastAsia="黑体" w:cs="黑体"/>
          <w:b w:val="0"/>
          <w:bCs/>
          <w:color w:val="333333"/>
          <w:kern w:val="0"/>
          <w:sz w:val="32"/>
          <w:szCs w:val="32"/>
          <w:lang w:val="en-US" w:eastAsia="zh-CN" w:bidi="ar"/>
        </w:rPr>
        <w:t>五、存在的主要问题及改进情况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1" w:after="0" w:afterAutospacing="1" w:line="560" w:lineRule="exact"/>
        <w:ind w:right="0" w:rightChars="0" w:firstLine="643" w:firstLineChars="200"/>
        <w:jc w:val="left"/>
        <w:textAlignment w:val="auto"/>
        <w:rPr>
          <w:rFonts w:hint="eastAsia" w:ascii="仿宋_GB2312" w:hAnsi="仿宋_GB2312" w:eastAsia="仿宋_GB2312" w:cs="仿宋_GB2312"/>
          <w:color w:val="000000"/>
          <w:kern w:val="0"/>
          <w:sz w:val="32"/>
          <w:szCs w:val="32"/>
        </w:rPr>
      </w:pPr>
      <w:r>
        <w:rPr>
          <w:rFonts w:hint="eastAsia" w:ascii="楷体" w:hAnsi="楷体" w:eastAsia="楷体" w:cs="楷体"/>
          <w:b/>
          <w:bCs/>
          <w:kern w:val="2"/>
          <w:sz w:val="32"/>
          <w:szCs w:val="32"/>
          <w:lang w:eastAsia="zh-CN"/>
        </w:rPr>
        <w:t>（一）主要问题。</w:t>
      </w:r>
      <w:r>
        <w:rPr>
          <w:rFonts w:hint="eastAsia" w:ascii="仿宋_GB2312" w:hAnsi="仿宋_GB2312" w:eastAsia="仿宋_GB2312" w:cs="仿宋_GB2312"/>
          <w:kern w:val="2"/>
          <w:sz w:val="32"/>
          <w:szCs w:val="32"/>
          <w:lang w:eastAsia="zh-CN"/>
        </w:rPr>
        <w:t>按照国家和市政府信息公开工作要求，我区政府信息公开工作仍存在一些不足，一是政策解读形式不够丰富，二是政务公开平台功能需要进一步完善，三是政务公开还有待深入。</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0"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kern w:val="2"/>
          <w:sz w:val="32"/>
          <w:szCs w:val="32"/>
          <w:lang w:eastAsia="zh-CN"/>
        </w:rPr>
        <w:t>（二）改进措施。</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lang w:eastAsia="zh-CN"/>
        </w:rPr>
        <w:t>深入做好是直接读、深度解读、延伸解读，进一步丰富解读形式，采用对拼、音频、动画等多种形式开展解读，不断提升政府工作透明度，</w:t>
      </w:r>
      <w:r>
        <w:rPr>
          <w:rFonts w:hint="eastAsia" w:ascii="仿宋_GB2312" w:hAnsi="仿宋_GB2312" w:eastAsia="仿宋_GB2312" w:cs="仿宋_GB2312"/>
          <w:sz w:val="32"/>
          <w:szCs w:val="32"/>
        </w:rPr>
        <w:t>进一步充实和完善政务公开内容。</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继续抓好政务网上公开工作，加强政务服务网站建设，进一步完善网上投诉、申报和查询功能，充分发挥网上监督功能，增强公开的时效性，提高公开的社会满意度。</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拓展政务公开广度和深度，指导</w:t>
      </w:r>
      <w:r>
        <w:rPr>
          <w:rFonts w:hint="eastAsia" w:ascii="仿宋_GB2312" w:hAnsi="仿宋_GB2312" w:eastAsia="仿宋_GB2312" w:cs="仿宋_GB2312"/>
          <w:sz w:val="32"/>
          <w:szCs w:val="32"/>
          <w:lang w:eastAsia="zh-CN"/>
        </w:rPr>
        <w:t>全区政务</w:t>
      </w:r>
      <w:r>
        <w:rPr>
          <w:rFonts w:hint="eastAsia" w:ascii="仿宋_GB2312" w:hAnsi="仿宋_GB2312" w:eastAsia="仿宋_GB2312" w:cs="仿宋_GB2312"/>
          <w:sz w:val="32"/>
          <w:szCs w:val="32"/>
        </w:rPr>
        <w:t>信息公开工作，推进政府信息公开活动不断向基层延伸，不断扩大政务公开覆盖面。</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0" w:firstLine="640" w:firstLineChars="200"/>
        <w:textAlignment w:val="auto"/>
        <w:rPr>
          <w:rFonts w:hint="eastAsia" w:ascii="黑体" w:hAnsi="黑体" w:eastAsia="黑体" w:cs="黑体"/>
          <w:b w:val="0"/>
          <w:bCs/>
          <w:color w:val="333333"/>
          <w:kern w:val="0"/>
          <w:sz w:val="32"/>
          <w:szCs w:val="32"/>
          <w:lang w:val="en-US" w:eastAsia="zh-CN" w:bidi="ar"/>
        </w:rPr>
      </w:pPr>
      <w:r>
        <w:rPr>
          <w:rFonts w:hint="eastAsia" w:ascii="黑体" w:hAnsi="黑体" w:eastAsia="黑体" w:cs="黑体"/>
          <w:b w:val="0"/>
          <w:bCs/>
          <w:color w:val="333333"/>
          <w:kern w:val="0"/>
          <w:sz w:val="32"/>
          <w:szCs w:val="32"/>
          <w:lang w:val="en-US" w:eastAsia="zh-CN" w:bidi="ar"/>
        </w:rPr>
        <w:t>六、其他需要报告的事项</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color w:val="333333"/>
          <w:kern w:val="0"/>
          <w:sz w:val="32"/>
          <w:szCs w:val="32"/>
          <w:lang w:val="en-US" w:eastAsia="zh-CN" w:bidi="ar"/>
        </w:rPr>
        <w:t>无</w:t>
      </w:r>
      <w:r>
        <w:rPr>
          <w:rFonts w:hint="eastAsia" w:ascii="仿宋_GB2312" w:hAnsi="仿宋_GB2312" w:eastAsia="仿宋_GB2312" w:cs="仿宋_GB2312"/>
          <w:kern w:val="0"/>
          <w:sz w:val="32"/>
          <w:szCs w:val="32"/>
          <w:lang w:val="en-US" w:eastAsia="zh-CN" w:bidi="ar"/>
        </w:rPr>
        <w:t> </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right="0" w:firstLine="640" w:firstLineChars="200"/>
        <w:textAlignment w:val="auto"/>
        <w:rPr>
          <w:rFonts w:hint="eastAsia" w:ascii="仿宋_GB2312" w:hAnsi="仿宋_GB2312" w:eastAsia="仿宋_GB2312" w:cs="仿宋_GB2312"/>
          <w:kern w:val="0"/>
          <w:sz w:val="32"/>
          <w:szCs w:val="32"/>
          <w:lang w:val="en-US" w:eastAsia="zh-CN" w:bidi="ar"/>
        </w:rPr>
      </w:pP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640" w:lineRule="exact"/>
        <w:ind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sz w:val="32"/>
          <w:szCs w:val="32"/>
        </w:rPr>
        <w:t xml:space="preserve">            </w:t>
      </w:r>
    </w:p>
    <w:sectPr>
      <w:pgSz w:w="11906" w:h="16838"/>
      <w:pgMar w:top="0" w:right="1800"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734FA8"/>
    <w:multiLevelType w:val="singleLevel"/>
    <w:tmpl w:val="73734FA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ZjliMzYyMjg5MTZkNTFmNDQ5MTQ4OTg4YmZjZmIifQ=="/>
  </w:docVars>
  <w:rsids>
    <w:rsidRoot w:val="1C6A6AEA"/>
    <w:rsid w:val="019D115B"/>
    <w:rsid w:val="01F359BF"/>
    <w:rsid w:val="025A704C"/>
    <w:rsid w:val="038A1BB2"/>
    <w:rsid w:val="066E0748"/>
    <w:rsid w:val="07352DD4"/>
    <w:rsid w:val="0B5C3EBB"/>
    <w:rsid w:val="0C211BB1"/>
    <w:rsid w:val="0D9B3706"/>
    <w:rsid w:val="0ED01DE9"/>
    <w:rsid w:val="0F1B04FA"/>
    <w:rsid w:val="0F9E0262"/>
    <w:rsid w:val="114F5A67"/>
    <w:rsid w:val="117F30C5"/>
    <w:rsid w:val="12181759"/>
    <w:rsid w:val="12E26F44"/>
    <w:rsid w:val="13002C91"/>
    <w:rsid w:val="14E31325"/>
    <w:rsid w:val="14FA1CDE"/>
    <w:rsid w:val="165E71A7"/>
    <w:rsid w:val="197E138D"/>
    <w:rsid w:val="19E430E1"/>
    <w:rsid w:val="1C1F21C1"/>
    <w:rsid w:val="1C405174"/>
    <w:rsid w:val="1C6A6AEA"/>
    <w:rsid w:val="1C7405C8"/>
    <w:rsid w:val="1D5D41F9"/>
    <w:rsid w:val="230B12BE"/>
    <w:rsid w:val="24511AB2"/>
    <w:rsid w:val="281D4BE7"/>
    <w:rsid w:val="28880679"/>
    <w:rsid w:val="29C709B9"/>
    <w:rsid w:val="29E73430"/>
    <w:rsid w:val="2A0B6CFA"/>
    <w:rsid w:val="2B722649"/>
    <w:rsid w:val="302A2DAE"/>
    <w:rsid w:val="30AF15DD"/>
    <w:rsid w:val="329810E9"/>
    <w:rsid w:val="329A57E6"/>
    <w:rsid w:val="329D3AC3"/>
    <w:rsid w:val="34A72491"/>
    <w:rsid w:val="35C44201"/>
    <w:rsid w:val="35F376C2"/>
    <w:rsid w:val="39F11F56"/>
    <w:rsid w:val="3AA308C4"/>
    <w:rsid w:val="3B9B10EE"/>
    <w:rsid w:val="3E9260E2"/>
    <w:rsid w:val="3FE9754A"/>
    <w:rsid w:val="40EB3D21"/>
    <w:rsid w:val="415A4C16"/>
    <w:rsid w:val="418A677A"/>
    <w:rsid w:val="41CA31FB"/>
    <w:rsid w:val="42285579"/>
    <w:rsid w:val="42F91544"/>
    <w:rsid w:val="451634B7"/>
    <w:rsid w:val="46875502"/>
    <w:rsid w:val="470C54B5"/>
    <w:rsid w:val="47C818C2"/>
    <w:rsid w:val="49153B3D"/>
    <w:rsid w:val="49F00BDA"/>
    <w:rsid w:val="4AF867C4"/>
    <w:rsid w:val="4C5A3136"/>
    <w:rsid w:val="4F685F86"/>
    <w:rsid w:val="54085B6E"/>
    <w:rsid w:val="57EA426F"/>
    <w:rsid w:val="59005FEF"/>
    <w:rsid w:val="59305EC7"/>
    <w:rsid w:val="59EC06B3"/>
    <w:rsid w:val="5A31699A"/>
    <w:rsid w:val="5B9D47E7"/>
    <w:rsid w:val="5C5D1D5A"/>
    <w:rsid w:val="5CF44233"/>
    <w:rsid w:val="5E651D17"/>
    <w:rsid w:val="5ECD5F1F"/>
    <w:rsid w:val="5F0E45BB"/>
    <w:rsid w:val="60C664D7"/>
    <w:rsid w:val="631075CB"/>
    <w:rsid w:val="658C4D17"/>
    <w:rsid w:val="68F64364"/>
    <w:rsid w:val="69DD5738"/>
    <w:rsid w:val="6C0065F0"/>
    <w:rsid w:val="6CC817F6"/>
    <w:rsid w:val="6DE81A15"/>
    <w:rsid w:val="6F831B30"/>
    <w:rsid w:val="720E2906"/>
    <w:rsid w:val="736F20E1"/>
    <w:rsid w:val="73CA2E51"/>
    <w:rsid w:val="74123DAE"/>
    <w:rsid w:val="767D31F9"/>
    <w:rsid w:val="79522B2C"/>
    <w:rsid w:val="79A46338"/>
    <w:rsid w:val="7C38034D"/>
    <w:rsid w:val="7C677A50"/>
    <w:rsid w:val="7EFA7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目录 81"/>
    <w:next w:val="1"/>
    <w:qFormat/>
    <w:uiPriority w:val="99"/>
    <w:pPr>
      <w:wordWrap w:val="0"/>
      <w:ind w:left="2975"/>
      <w:jc w:val="both"/>
    </w:pPr>
    <w:rPr>
      <w:rFonts w:ascii="Times New Roman" w:hAnsi="Times New Roman" w:eastAsia="宋体" w:cs="Times New Roman"/>
      <w:kern w:val="0"/>
      <w:sz w:val="21"/>
      <w:szCs w:val="2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2219</Words>
  <Characters>2272</Characters>
  <Lines>0</Lines>
  <Paragraphs>0</Paragraphs>
  <TotalTime>26</TotalTime>
  <ScaleCrop>false</ScaleCrop>
  <LinksUpToDate>false</LinksUpToDate>
  <CharactersWithSpaces>2461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2020-12-12T01:01:00Z</dcterms:created>
  <dc:creator>liuku</dc:creator>
  <cp:lastModifiedBy>oo恒儿</cp:lastModifiedBy>
  <cp:lastPrinted>2023-01-29T01:08:00Z</cp:lastPrinted>
  <dcterms:modified xsi:type="dcterms:W3CDTF">2023-01-31T03:16:44Z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205F6F5FF82D4602BE9D5958096E16C9</vt:lpwstr>
  </property>
</Properties>
</file>