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牡丹江市商务局2022年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政府信息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公开工作年度报告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pPr>
        <w:jc w:val="center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2023年1月11日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rPr>
          <w:rFonts w:hint="eastAsia" w:ascii="仿宋_GB2312" w:hAnsi="14px" w:eastAsia="仿宋_GB2312" w:cs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14px" w:eastAsia="仿宋_GB2312" w:cs="仿宋_GB2312"/>
          <w:sz w:val="32"/>
          <w:szCs w:val="32"/>
          <w:shd w:val="clear" w:color="auto" w:fill="FFFFFF"/>
          <w:lang w:val="en-US" w:eastAsia="zh-CN"/>
        </w:rPr>
        <w:t>根据《中华人民共和国政府信息公开条例》要求，特形成此年报。本年报所列数据的统计期限从2022年1月1日至2022年12月31日止。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FFFFFF"/>
          <w:lang w:val="en-US" w:eastAsia="zh-CN"/>
        </w:rPr>
        <w:t>一、总体情况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rPr>
          <w:rFonts w:hint="eastAsia" w:ascii="仿宋_GB2312" w:hAnsi="14px" w:eastAsia="仿宋_GB2312" w:cs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14px" w:eastAsia="仿宋_GB2312" w:cs="仿宋_GB2312"/>
          <w:sz w:val="32"/>
          <w:szCs w:val="32"/>
          <w:shd w:val="clear" w:color="auto" w:fill="FFFFFF"/>
          <w:lang w:val="en-US" w:eastAsia="zh-CN"/>
        </w:rPr>
        <w:t>2022年，市商务局以习近平新时代中国特色社会主义思想为指导，全面贯彻党的二十大精神，立足新发展阶段、贯彻新发展理念、构建新发展格局，推动高质量发展，坚持以人民为中心深化政务公开，落实党中央、国务院关于全面推进政务公开工作的重要部署和市委、市政府的工作要求，围绕经济社会发展和群众关注关切，全力推进商务领域政府信息公开工作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3" w:firstLineChars="200"/>
        <w:rPr>
          <w:rFonts w:hint="eastAsia" w:ascii="仿宋_GB2312" w:hAnsi="14px" w:eastAsia="仿宋_GB2312" w:cs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shd w:val="clear" w:color="auto" w:fill="FFFFFF"/>
          <w:lang w:val="en-US" w:eastAsia="zh-CN"/>
        </w:rPr>
        <w:t>（一）主动公开情况。</w:t>
      </w:r>
      <w:r>
        <w:rPr>
          <w:rFonts w:hint="eastAsia" w:ascii="仿宋_GB2312" w:hAnsi="14px" w:eastAsia="仿宋_GB2312" w:cs="仿宋_GB2312"/>
          <w:sz w:val="32"/>
          <w:szCs w:val="32"/>
          <w:shd w:val="clear" w:color="auto" w:fill="FFFFFF"/>
          <w:lang w:val="en-US" w:eastAsia="zh-CN"/>
        </w:rPr>
        <w:t>2022年依托全市政府信息公开网站平台，发布商务工作信息50余条。准确公开部门基本信息、职能、重点工作开展情况，主动公开2021年度部门决算、2022年度部门预算，及时发布促消费、市场保供、中央外经贸发展专项资金拨付情况等重要事项，确保企业、市民及时掌握相关信息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3" w:firstLineChars="200"/>
        <w:rPr>
          <w:rFonts w:hint="eastAsia" w:ascii="仿宋_GB2312" w:hAnsi="14px" w:eastAsia="仿宋_GB2312" w:cs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shd w:val="clear" w:color="auto" w:fill="FFFFFF"/>
          <w:lang w:val="en-US" w:eastAsia="zh-CN"/>
        </w:rPr>
        <w:t>（二）依申请公开情况。</w:t>
      </w:r>
      <w:r>
        <w:rPr>
          <w:rFonts w:hint="eastAsia" w:ascii="仿宋_GB2312" w:hAnsi="14px" w:eastAsia="仿宋_GB2312" w:cs="仿宋_GB2312"/>
          <w:sz w:val="32"/>
          <w:szCs w:val="32"/>
          <w:shd w:val="clear" w:color="auto" w:fill="FFFFFF"/>
          <w:lang w:val="en-US" w:eastAsia="zh-CN"/>
        </w:rPr>
        <w:t>市商务局第一时间受理依申请公开事项，认真研究，精准规范答复意见，提升依申请公开办理质量。全年无新收政府信息公开申请，无因政府信息公开申请引发行政复议和行政诉讼。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3" w:firstLineChars="200"/>
        <w:rPr>
          <w:rFonts w:hint="eastAsia" w:ascii="仿宋_GB2312" w:hAnsi="14px" w:eastAsia="仿宋_GB2312" w:cs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shd w:val="clear" w:color="auto" w:fill="FFFFFF"/>
          <w:lang w:val="en-US" w:eastAsia="zh-CN"/>
        </w:rPr>
        <w:t>（三）政府信息管理。</w:t>
      </w:r>
      <w:r>
        <w:rPr>
          <w:rFonts w:hint="eastAsia" w:ascii="仿宋_GB2312" w:hAnsi="14px" w:eastAsia="仿宋_GB2312" w:cs="仿宋_GB2312"/>
          <w:sz w:val="32"/>
          <w:szCs w:val="32"/>
          <w:shd w:val="clear" w:color="auto" w:fill="FFFFFF"/>
          <w:lang w:val="en-US" w:eastAsia="zh-CN"/>
        </w:rPr>
        <w:t>按照市政府网站管理有关要求和政务公开考核要求，进一步完善信息公开渠道，市政府信息公开网站、新闻媒体加强信息公开发布，完善信息发布功能，规范栏目设置，及时更新重要工作信息。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3" w:firstLineChars="200"/>
        <w:rPr>
          <w:rFonts w:hint="eastAsia" w:ascii="仿宋_GB2312" w:hAnsi="14px" w:eastAsia="仿宋_GB2312" w:cs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shd w:val="clear" w:color="auto" w:fill="FFFFFF"/>
          <w:lang w:val="en-US" w:eastAsia="zh-CN"/>
        </w:rPr>
        <w:t>（四）政府信息公开平台建设。</w:t>
      </w:r>
      <w:r>
        <w:rPr>
          <w:rFonts w:hint="eastAsia" w:ascii="仿宋_GB2312" w:hAnsi="14px" w:eastAsia="仿宋_GB2312" w:cs="仿宋_GB2312"/>
          <w:sz w:val="32"/>
          <w:szCs w:val="32"/>
          <w:shd w:val="clear" w:color="auto" w:fill="FFFFFF"/>
          <w:lang w:val="en-US" w:eastAsia="zh-CN"/>
        </w:rPr>
        <w:t>市商务局加强市政府公开网站信息管理，及时公布部门动态和涉企活动信息。通过市政府公开网站第一时间发布疫情防控、促消费、稳外贸、法治政府建设等工作信息，让企业和市民充分知晓。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3" w:firstLineChars="200"/>
        <w:rPr>
          <w:rFonts w:hint="eastAsia" w:ascii="仿宋_GB2312" w:hAnsi="14px" w:eastAsia="仿宋_GB2312" w:cs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shd w:val="clear" w:color="auto" w:fill="FFFFFF"/>
          <w:lang w:val="en-US" w:eastAsia="zh-CN"/>
        </w:rPr>
        <w:t>（五）监督保障。</w:t>
      </w:r>
      <w:r>
        <w:rPr>
          <w:rFonts w:hint="eastAsia" w:ascii="仿宋_GB2312" w:hAnsi="14px" w:eastAsia="仿宋_GB2312" w:cs="仿宋_GB2312"/>
          <w:sz w:val="32"/>
          <w:szCs w:val="32"/>
          <w:shd w:val="clear" w:color="auto" w:fill="FFFFFF"/>
          <w:lang w:val="en-US" w:eastAsia="zh-CN"/>
        </w:rPr>
        <w:t>按照国家网络安全法律法规、市委网信办、市政府政务公开办的工作要求，市商务局严格执行信息发布审核管理，盯紧压实责任。专人负责，承办人、办公室主任、部门主管领导层层把关，加强部门信息管理，全面落实本部门信息监督责任。严格执行政府信息保密审核制度，加强网络安全预警预报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rPr>
          <w:rFonts w:hint="eastAsia" w:ascii="黑体" w:hAnsi="黑体" w:eastAsia="黑体" w:cs="黑体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FFFFFF"/>
          <w:lang w:val="en-US" w:eastAsia="zh-CN"/>
        </w:rPr>
        <w:t>二、主动公开政府信息情况</w:t>
      </w:r>
    </w:p>
    <w:tbl>
      <w:tblPr>
        <w:tblStyle w:val="6"/>
        <w:tblW w:w="8600" w:type="dxa"/>
        <w:jc w:val="center"/>
        <w:tblInd w:w="-99" w:type="dxa"/>
        <w:tblBorders>
          <w:top w:val="single" w:color="A5A5A5" w:sz="4" w:space="0"/>
          <w:left w:val="single" w:color="A5A5A5" w:sz="4" w:space="0"/>
          <w:bottom w:val="single" w:color="A5A5A5" w:sz="4" w:space="0"/>
          <w:right w:val="single" w:color="A5A5A5" w:sz="4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47"/>
        <w:gridCol w:w="2147"/>
        <w:gridCol w:w="2147"/>
        <w:gridCol w:w="2159"/>
      </w:tblGrid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86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第二十条第（一）项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21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信息内容</w:t>
            </w:r>
          </w:p>
        </w:tc>
        <w:tc>
          <w:tcPr>
            <w:tcW w:w="21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本年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制发件数</w:t>
            </w:r>
          </w:p>
        </w:tc>
        <w:tc>
          <w:tcPr>
            <w:tcW w:w="21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本年废止件数</w:t>
            </w:r>
          </w:p>
        </w:tc>
        <w:tc>
          <w:tcPr>
            <w:tcW w:w="2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现行有效件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数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21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规章</w:t>
            </w:r>
          </w:p>
        </w:tc>
        <w:tc>
          <w:tcPr>
            <w:tcW w:w="21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21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21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行政规范性文件</w:t>
            </w:r>
          </w:p>
        </w:tc>
        <w:tc>
          <w:tcPr>
            <w:tcW w:w="21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21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860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第二十条第（五）项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21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信息内容</w:t>
            </w:r>
          </w:p>
        </w:tc>
        <w:tc>
          <w:tcPr>
            <w:tcW w:w="64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本年处理决定数量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21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行政许可</w:t>
            </w:r>
          </w:p>
        </w:tc>
        <w:tc>
          <w:tcPr>
            <w:tcW w:w="64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238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860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第二十条第（六）项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21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信息内容</w:t>
            </w:r>
          </w:p>
        </w:tc>
        <w:tc>
          <w:tcPr>
            <w:tcW w:w="64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本年处理决定数量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21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行政处罚</w:t>
            </w:r>
          </w:p>
        </w:tc>
        <w:tc>
          <w:tcPr>
            <w:tcW w:w="64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21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行政强制</w:t>
            </w:r>
          </w:p>
        </w:tc>
        <w:tc>
          <w:tcPr>
            <w:tcW w:w="64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860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第二十条第（八）项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21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信息内容</w:t>
            </w:r>
          </w:p>
        </w:tc>
        <w:tc>
          <w:tcPr>
            <w:tcW w:w="6453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本年收费金额（单位：万元）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21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行政事业性收费</w:t>
            </w:r>
          </w:p>
        </w:tc>
        <w:tc>
          <w:tcPr>
            <w:tcW w:w="6453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Chars="200" w:right="0" w:right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FFFFFF"/>
          <w:lang w:val="en-US" w:eastAsia="zh-CN"/>
        </w:rPr>
        <w:t>三、收到和处理政府信息公开申请情况</w:t>
      </w:r>
    </w:p>
    <w:tbl>
      <w:tblPr>
        <w:tblStyle w:val="6"/>
        <w:tblW w:w="9367" w:type="dxa"/>
        <w:jc w:val="center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3"/>
        <w:gridCol w:w="753"/>
        <w:gridCol w:w="3152"/>
        <w:gridCol w:w="750"/>
        <w:gridCol w:w="717"/>
        <w:gridCol w:w="717"/>
        <w:gridCol w:w="787"/>
        <w:gridCol w:w="787"/>
        <w:gridCol w:w="586"/>
        <w:gridCol w:w="605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4418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94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申请人情况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4418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自然人</w:t>
            </w:r>
          </w:p>
        </w:tc>
        <w:tc>
          <w:tcPr>
            <w:tcW w:w="359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法人或其他组织</w:t>
            </w:r>
          </w:p>
        </w:tc>
        <w:tc>
          <w:tcPr>
            <w:tcW w:w="6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4418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商业企业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科研机构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社会公益组织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法律服务机构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</w:t>
            </w:r>
          </w:p>
        </w:tc>
        <w:tc>
          <w:tcPr>
            <w:tcW w:w="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44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44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三、本年度办 理结果</w:t>
            </w:r>
          </w:p>
        </w:tc>
        <w:tc>
          <w:tcPr>
            <w:tcW w:w="3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（一）予以公开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  <w:jc w:val="center"/>
        </w:trPr>
        <w:tc>
          <w:tcPr>
            <w:tcW w:w="5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（二）部分公开                          （区分处理的。只计这一情形，不计其他情形）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（三） 不予   公开</w:t>
            </w: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1.属于国家秘密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2.其他法律行政法规禁止公开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3.危及“三安全一稳定”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4.保护第三方合法权益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5.属于三类内部事物信息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6.属于四类过程性信息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7.属于行政执法案卷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8.属于行政查询事项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（四）无法 提供</w:t>
            </w: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1.本机关不掌握相关政府信息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2.没有现成信息需要另行制作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3.补正后申请内容仍不明确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（五）不予 受理</w:t>
            </w: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1.信访举报投诉类申请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2.重复申请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3.要求提供公开出版物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4.无正当理由大量反复申请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5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（六）其他处理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（七）总计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44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四、结转下年度继续办理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Chars="200" w:right="0" w:right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FFFFFF"/>
          <w:lang w:val="en-US" w:eastAsia="zh-CN"/>
        </w:rPr>
        <w:t>四、政府信息公开行政复议、行政诉讼情况</w:t>
      </w:r>
    </w:p>
    <w:tbl>
      <w:tblPr>
        <w:tblStyle w:val="6"/>
        <w:tblW w:w="9720" w:type="dxa"/>
        <w:jc w:val="center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8"/>
        <w:gridCol w:w="678"/>
        <w:gridCol w:w="678"/>
        <w:gridCol w:w="678"/>
        <w:gridCol w:w="528"/>
        <w:gridCol w:w="670"/>
        <w:gridCol w:w="670"/>
        <w:gridCol w:w="670"/>
        <w:gridCol w:w="670"/>
        <w:gridCol w:w="523"/>
        <w:gridCol w:w="670"/>
        <w:gridCol w:w="670"/>
        <w:gridCol w:w="670"/>
        <w:gridCol w:w="670"/>
        <w:gridCol w:w="597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32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行政复议</w:t>
            </w:r>
          </w:p>
        </w:tc>
        <w:tc>
          <w:tcPr>
            <w:tcW w:w="648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行政诉讼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6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 果 维 持</w:t>
            </w:r>
          </w:p>
        </w:tc>
        <w:tc>
          <w:tcPr>
            <w:tcW w:w="6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 果 纠 正</w:t>
            </w:r>
          </w:p>
        </w:tc>
        <w:tc>
          <w:tcPr>
            <w:tcW w:w="6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 他 结 果</w:t>
            </w:r>
          </w:p>
        </w:tc>
        <w:tc>
          <w:tcPr>
            <w:tcW w:w="6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尚 未 审 结</w:t>
            </w:r>
          </w:p>
        </w:tc>
        <w:tc>
          <w:tcPr>
            <w:tcW w:w="5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总计</w:t>
            </w:r>
          </w:p>
        </w:tc>
        <w:tc>
          <w:tcPr>
            <w:tcW w:w="32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未经复议直接起诉</w:t>
            </w:r>
          </w:p>
        </w:tc>
        <w:tc>
          <w:tcPr>
            <w:tcW w:w="327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复议后起诉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0" w:hRule="atLeast"/>
          <w:jc w:val="center"/>
        </w:trPr>
        <w:tc>
          <w:tcPr>
            <w:tcW w:w="6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 果 维 持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 果 纠 正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 他 结 果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尚 未 审 结</w:t>
            </w:r>
          </w:p>
        </w:tc>
        <w:tc>
          <w:tcPr>
            <w:tcW w:w="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总计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 果 维 持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 果 纠 正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 他 结 果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尚 未 审 结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FFFFFF"/>
          <w:lang w:val="en-US" w:eastAsia="zh-CN"/>
        </w:rPr>
        <w:t>五、存在的主要问题及改进情况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shd w:val="clear" w:color="auto" w:fill="FFFFFF"/>
          <w:lang w:val="en-US" w:eastAsia="zh-CN"/>
        </w:rPr>
        <w:t>存在的主要问题：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  <w:lang w:val="en-US" w:eastAsia="zh-CN"/>
        </w:rPr>
        <w:t>一是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发布信息质量需进一步提高；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  <w:lang w:val="en-US" w:eastAsia="zh-CN"/>
        </w:rPr>
        <w:t>二是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信息公开工作的长效机制仍需进一步完善。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shd w:val="clear" w:color="auto" w:fill="FFFFFF"/>
          <w:lang w:val="en-US" w:eastAsia="zh-CN"/>
        </w:rPr>
        <w:t>下一步改进措施：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  <w:lang w:val="en-US" w:eastAsia="zh-CN"/>
        </w:rPr>
        <w:t>一是持续开展日常网站更新工作。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及时更新网站信息，更正文字表述错误，确保网站内容的有效性，提升内容公开质量，促进政务公开更加便民利企，使人民群众和商贸企业充分了解政策红利，有效提振消费市场信心。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  <w:lang w:val="en-US" w:eastAsia="zh-CN"/>
        </w:rPr>
        <w:t>二是进一步健全政务公开工作机制。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在日常工作中加强与市政务公开办的沟通与联系，多汇报、多请教，及时解决工作中出现的新情况、新问题。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outlineLvl w:val="1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六、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其他需要报告的事项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14px" w:eastAsia="仿宋_GB2312" w:cs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14px" w:eastAsia="仿宋_GB2312" w:cs="仿宋_GB2312"/>
          <w:sz w:val="32"/>
          <w:szCs w:val="32"/>
          <w:shd w:val="clear" w:color="auto" w:fill="FFFFFF"/>
          <w:lang w:val="en-US" w:eastAsia="zh-CN"/>
        </w:rPr>
      </w:pPr>
    </w:p>
    <w:sectPr>
      <w:pgSz w:w="11906" w:h="16838"/>
      <w:pgMar w:top="0" w:right="1800" w:bottom="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14px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华光中圆_CNKI">
    <w:altName w:val="宋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674178"/>
    <w:rsid w:val="024E47CE"/>
    <w:rsid w:val="04E06417"/>
    <w:rsid w:val="065D14E3"/>
    <w:rsid w:val="0AB50F48"/>
    <w:rsid w:val="114155DE"/>
    <w:rsid w:val="16CB286D"/>
    <w:rsid w:val="1A5624C2"/>
    <w:rsid w:val="1F6A47BC"/>
    <w:rsid w:val="1FD748D6"/>
    <w:rsid w:val="20494722"/>
    <w:rsid w:val="20EB602F"/>
    <w:rsid w:val="22FD5135"/>
    <w:rsid w:val="24486209"/>
    <w:rsid w:val="2683729F"/>
    <w:rsid w:val="2F674178"/>
    <w:rsid w:val="2FF81C5E"/>
    <w:rsid w:val="30796D09"/>
    <w:rsid w:val="319E79B1"/>
    <w:rsid w:val="35734609"/>
    <w:rsid w:val="39B8520B"/>
    <w:rsid w:val="3DA7180F"/>
    <w:rsid w:val="40AF5967"/>
    <w:rsid w:val="434310AA"/>
    <w:rsid w:val="44FE0595"/>
    <w:rsid w:val="4AF73256"/>
    <w:rsid w:val="51D910F7"/>
    <w:rsid w:val="53535B17"/>
    <w:rsid w:val="53CC018D"/>
    <w:rsid w:val="557165AF"/>
    <w:rsid w:val="57AB68B6"/>
    <w:rsid w:val="5AF95C60"/>
    <w:rsid w:val="600645F2"/>
    <w:rsid w:val="73BB5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adjustRightInd w:val="0"/>
      <w:snapToGrid w:val="0"/>
      <w:spacing w:beforeLines="0" w:beforeAutospacing="0" w:afterLines="0" w:afterAutospacing="0" w:line="600" w:lineRule="exact"/>
      <w:ind w:firstLine="640" w:firstLineChars="200"/>
      <w:outlineLvl w:val="1"/>
    </w:pPr>
    <w:rPr>
      <w:rFonts w:ascii="Arial" w:hAnsi="Arial" w:eastAsia="黑体" w:cs="Times New Roman"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  <w:rPr>
      <w:rFonts w:cs="Calibri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2023-01-09T02:19:00Z</dcterms:created>
  <dc:creator>lenovo</dc:creator>
  <cp:lastModifiedBy>lenovo</cp:lastModifiedBy>
  <cp:lastPrinted>2023-01-12T02:14:00Z</cp:lastPrinted>
  <dcterms:modified xsi:type="dcterms:W3CDTF">2023-01-18T08:19:45Z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