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numPr>
          <w:numId w:val="0"/>
        </w:numPr>
        <w:wordWrap/>
        <w:adjustRightInd/>
        <w:snapToGrid/>
        <w:spacing w:line="600" w:lineRule="exact"/>
        <w:jc w:val="center"/>
        <w:rPr>
          <w:rFonts w:hint="eastAsia" w:ascii="宋体" w:hAnsi="宋体" w:eastAsia="宋体" w:cs="宋体"/>
          <w:b/>
          <w:bCs/>
          <w:color w:val="auto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</w:rPr>
        <w:t>牡丹江市城市管理综合执法局</w:t>
      </w:r>
    </w:p>
    <w:p>
      <w:pPr>
        <w:numPr>
          <w:numId w:val="0"/>
        </w:numPr>
        <w:wordWrap/>
        <w:adjustRightInd/>
        <w:snapToGrid/>
        <w:spacing w:line="600" w:lineRule="exact"/>
        <w:jc w:val="center"/>
        <w:rPr>
          <w:rFonts w:hint="eastAsia" w:ascii="宋体" w:hAnsi="宋体" w:eastAsia="宋体" w:cs="宋体"/>
          <w:b/>
          <w:bCs/>
          <w:color w:val="auto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</w:rPr>
        <w:t>202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</w:rPr>
        <w:t>年政府信息公开工作年度报告</w:t>
      </w:r>
    </w:p>
    <w:p>
      <w:pPr>
        <w:numPr>
          <w:numId w:val="0"/>
        </w:numPr>
        <w:wordWrap/>
        <w:adjustRightInd/>
        <w:snapToGrid/>
        <w:spacing w:line="600" w:lineRule="exact"/>
        <w:jc w:val="center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2023年1月10日</w:t>
      </w:r>
    </w:p>
    <w:p>
      <w:pPr>
        <w:numPr>
          <w:numId w:val="0"/>
        </w:numPr>
        <w:wordWrap/>
        <w:adjustRightInd/>
        <w:snapToGrid/>
        <w:spacing w:line="600" w:lineRule="exact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</w:p>
    <w:p>
      <w:pPr>
        <w:numPr>
          <w:numId w:val="0"/>
        </w:numPr>
        <w:wordWrap/>
        <w:adjustRightInd/>
        <w:snapToGrid/>
        <w:spacing w:line="600" w:lineRule="exact"/>
        <w:jc w:val="both"/>
        <w:rPr>
          <w:rFonts w:hint="eastAsia" w:ascii="黑体" w:hAnsi="黑体" w:eastAsia="黑体" w:cs="宋体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根据《中华人民共和国政府信息公开条例》和《国务院办公厅政府信息与政务公开办公室关于印发〈中华人民共和国政府信息公开工作年度报告格式〉的通知》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(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国办公开办函〔2021〕30号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)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等文件要求，现将牡丹江市城市管理综合执法局202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年政府信息公开工作年度报告向社会公布。年报中所列数据的统计期限自202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年1月1日起至202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年12月31日止。</w:t>
      </w:r>
    </w:p>
    <w:p>
      <w:pPr>
        <w:widowControl/>
        <w:shd w:val="clear" w:color="auto" w:fill="FFFFFF"/>
        <w:ind w:firstLine="640" w:firstLineChars="200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2"/>
          <w:szCs w:val="32"/>
        </w:rPr>
        <w:t>一、总体情况</w:t>
      </w:r>
    </w:p>
    <w:p>
      <w:pPr>
        <w:widowControl/>
        <w:shd w:val="clear" w:color="auto" w:fill="FFFFFF"/>
        <w:ind w:firstLine="640" w:firstLineChars="200"/>
        <w:rPr>
          <w:rFonts w:ascii="仿宋_GB2312"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202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 xml:space="preserve">年，我局按照政务公开工作要求，认真贯彻落实《中华人民共和国政府信息公开条例》，紧紧围绕全市中心工作大局及城市管理领域群众关注关切焦点问题，积极推进政府信息公开工作。坚持以“公开为常态，不公开为例外”，逐步充实公开内容，进一步提升公开质量和实效，通过政府信息公开讲清城管政策、传播城管动态，展示城管特色，为实现全市经济社会发展提供有力支撑。          </w:t>
      </w:r>
    </w:p>
    <w:p>
      <w:pPr>
        <w:widowControl/>
        <w:shd w:val="clear" w:color="auto" w:fill="FFFFFF"/>
        <w:ind w:firstLine="643" w:firstLineChars="200"/>
        <w:rPr>
          <w:rFonts w:ascii="仿宋_GB2312"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楷体_GB2312" w:eastAsia="楷体_GB2312"/>
          <w:b/>
          <w:color w:val="000000"/>
          <w:sz w:val="32"/>
          <w:szCs w:val="32"/>
          <w:shd w:val="clear" w:color="auto" w:fill="FFFFFF"/>
        </w:rPr>
        <w:t>（一）主动公开。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shd w:val="clear" w:color="auto" w:fill="FFFFFF"/>
        </w:rPr>
        <w:t>年，我局充分利用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shd w:val="clear" w:color="auto" w:fill="FFFFFF"/>
          <w:lang w:eastAsia="zh-CN"/>
        </w:rPr>
        <w:t>政府门户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shd w:val="clear" w:color="auto" w:fill="FFFFFF"/>
        </w:rPr>
        <w:t>网站、报刊等多种媒介，切实提高信息公开覆盖面，共发布政务动态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  <w:t>81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shd w:val="clear" w:color="auto" w:fill="FFFFFF"/>
        </w:rPr>
        <w:t>条，信息公开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  <w:t>58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shd w:val="clear" w:color="auto" w:fill="FFFFFF"/>
        </w:rPr>
        <w:t>条；办理12345政务服务热线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  <w:t>63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shd w:val="clear" w:color="auto" w:fill="FFFFFF"/>
        </w:rPr>
        <w:t>件。</w:t>
      </w:r>
    </w:p>
    <w:p>
      <w:pPr>
        <w:widowControl/>
        <w:shd w:val="clear" w:color="auto" w:fill="FFFFFF"/>
        <w:ind w:firstLine="643" w:firstLineChars="200"/>
        <w:rPr>
          <w:rFonts w:ascii="楷体_GB2312" w:eastAsia="楷体_GB2312"/>
          <w:b/>
          <w:color w:val="000000"/>
          <w:sz w:val="32"/>
          <w:szCs w:val="32"/>
          <w:shd w:val="clear" w:color="auto" w:fill="FFFFFF"/>
        </w:rPr>
      </w:pPr>
      <w:r>
        <w:rPr>
          <w:rFonts w:hint="eastAsia" w:ascii="楷体_GB2312" w:eastAsia="楷体_GB2312"/>
          <w:b/>
          <w:color w:val="000000"/>
          <w:sz w:val="32"/>
          <w:szCs w:val="32"/>
          <w:shd w:val="clear" w:color="auto" w:fill="FFFFFF"/>
        </w:rPr>
        <w:t>（二）依申请公开情况</w:t>
      </w:r>
    </w:p>
    <w:p>
      <w:pPr>
        <w:widowControl/>
        <w:shd w:val="clear" w:color="auto" w:fill="FFFFFF"/>
        <w:ind w:firstLine="640" w:firstLineChars="200"/>
        <w:rPr>
          <w:rFonts w:ascii="仿宋_GB2312"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  <w:lang w:val="en-US" w:eastAsia="zh-CN"/>
        </w:rPr>
        <w:t>2022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年度我局无依申请公开情况。</w:t>
      </w:r>
    </w:p>
    <w:p>
      <w:pPr>
        <w:widowControl/>
        <w:shd w:val="clear" w:color="auto" w:fill="FFFFFF"/>
        <w:ind w:firstLine="643" w:firstLineChars="200"/>
        <w:rPr>
          <w:rFonts w:ascii="楷体_GB2312" w:eastAsia="楷体_GB2312"/>
          <w:b/>
          <w:color w:val="000000"/>
          <w:sz w:val="32"/>
          <w:szCs w:val="32"/>
          <w:shd w:val="clear" w:color="auto" w:fill="FFFFFF"/>
        </w:rPr>
      </w:pPr>
      <w:r>
        <w:rPr>
          <w:rFonts w:hint="eastAsia" w:ascii="楷体_GB2312" w:eastAsia="楷体_GB2312"/>
          <w:b/>
          <w:color w:val="000000"/>
          <w:sz w:val="32"/>
          <w:szCs w:val="32"/>
          <w:shd w:val="clear" w:color="auto" w:fill="FFFFFF"/>
        </w:rPr>
        <w:t>（三）政府信息管理情况</w:t>
      </w:r>
    </w:p>
    <w:p>
      <w:pPr>
        <w:widowControl/>
        <w:shd w:val="clear" w:color="auto" w:fill="FFFFFF"/>
        <w:ind w:firstLine="643" w:firstLineChars="200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shd w:val="clear" w:color="auto" w:fill="FFFFFF"/>
        </w:rPr>
        <w:t>一是强化组织保障。将政府信息公开工作纳入局整体工作进行部署，与日常业务工作同步推进。局办公室作为牵头部门，加强日常工作的推进、指导、协调和监督，确保年度政府信息公开工作得到有效落实。二是严格流程管理。严格落实政府信息公开“三级”审查制度，严格进行保密审查，严格区分主动公开、依申请公开、不予公开工作信息，按照法定时限及时发布并实时更新法定主动公开内容。日常信息发布严格执行“三审三校”制度，坚持“谁产生、谁审核、谁负责”原则，由各科室、局属单位主要负责人审核签字后报分管领导审批同意后予以发布。</w:t>
      </w:r>
    </w:p>
    <w:p>
      <w:pPr>
        <w:widowControl/>
        <w:shd w:val="clear" w:color="auto" w:fill="FFFFFF"/>
        <w:ind w:firstLine="643" w:firstLineChars="200"/>
        <w:rPr>
          <w:rFonts w:ascii="楷体_GB2312" w:eastAsia="楷体_GB2312"/>
          <w:b/>
          <w:color w:val="000000"/>
          <w:sz w:val="32"/>
          <w:szCs w:val="32"/>
          <w:shd w:val="clear" w:color="auto" w:fill="FFFFFF"/>
        </w:rPr>
      </w:pPr>
      <w:r>
        <w:rPr>
          <w:rFonts w:hint="eastAsia" w:ascii="楷体_GB2312" w:eastAsia="楷体_GB2312"/>
          <w:b/>
          <w:color w:val="000000"/>
          <w:sz w:val="32"/>
          <w:szCs w:val="32"/>
          <w:shd w:val="clear" w:color="auto" w:fill="FFFFFF"/>
        </w:rPr>
        <w:t>（四）平台建设情况</w:t>
      </w:r>
    </w:p>
    <w:p>
      <w:pPr>
        <w:widowControl/>
        <w:shd w:val="clear" w:color="auto" w:fill="FFFFFF"/>
        <w:ind w:firstLine="640" w:firstLineChars="200"/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  <w:lang w:eastAsia="zh-CN"/>
        </w:rPr>
        <w:t>一是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落实专人负责网站的运维管理工作，严格信息审核，及时排查网页错误，坚持定期开展网站安全检测，确保网站稳定运行。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  <w:lang w:eastAsia="zh-CN"/>
        </w:rPr>
        <w:t>二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是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  <w:lang w:eastAsia="zh-CN"/>
        </w:rPr>
        <w:t>推进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局微信公众号的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  <w:lang w:eastAsia="zh-CN"/>
        </w:rPr>
        <w:t>创建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，进一步丰富和完善政府信息公开渠道。202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年，我局按规定在牡丹江市政府门户网站及时准确公开相关政务信息，未发生违法违规情况。</w:t>
      </w:r>
    </w:p>
    <w:p>
      <w:pPr>
        <w:widowControl/>
        <w:shd w:val="clear" w:color="auto" w:fill="FFFFFF"/>
        <w:ind w:firstLine="643" w:firstLineChars="200"/>
        <w:rPr>
          <w:rFonts w:ascii="楷体_GB2312" w:eastAsia="楷体_GB2312"/>
          <w:b/>
          <w:color w:val="000000"/>
          <w:sz w:val="32"/>
          <w:szCs w:val="32"/>
          <w:shd w:val="clear" w:color="auto" w:fill="FFFFFF"/>
        </w:rPr>
      </w:pPr>
      <w:r>
        <w:rPr>
          <w:rFonts w:hint="eastAsia" w:ascii="楷体_GB2312" w:eastAsia="楷体_GB2312"/>
          <w:b/>
          <w:color w:val="000000"/>
          <w:sz w:val="32"/>
          <w:szCs w:val="32"/>
          <w:shd w:val="clear" w:color="auto" w:fill="FFFFFF"/>
        </w:rPr>
        <w:t>（五）监督保障工作情况</w:t>
      </w:r>
    </w:p>
    <w:p>
      <w:pPr>
        <w:widowControl/>
        <w:shd w:val="clear" w:color="auto" w:fill="FFFFFF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年，我局认真贯彻落实《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中华人民共和国政府信息公开条例》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，主要领导对政府信息公开工作进行专题研究部署，分管领导定期召开政务公开工作例会，将政府信息公开工作纳入年度考核目标，每季度对各科室信息报送情况进行通报，对责任科室进行提醒和督促。</w:t>
      </w:r>
    </w:p>
    <w:p>
      <w:pPr>
        <w:widowControl/>
        <w:shd w:val="clear" w:color="auto" w:fill="FFFFFF"/>
        <w:ind w:firstLine="480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2"/>
          <w:szCs w:val="32"/>
        </w:rPr>
        <w:t>二、主动公开政府信息情况</w:t>
      </w:r>
    </w:p>
    <w:tbl>
      <w:tblPr>
        <w:tblStyle w:val="7"/>
        <w:tblW w:w="8600" w:type="dxa"/>
        <w:jc w:val="center"/>
        <w:tblInd w:w="-2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53"/>
        <w:gridCol w:w="2268"/>
        <w:gridCol w:w="2122"/>
        <w:gridCol w:w="25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  <w:jc w:val="center"/>
        </w:trPr>
        <w:tc>
          <w:tcPr>
            <w:tcW w:w="86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  <w:jc w:val="center"/>
        </w:trPr>
        <w:tc>
          <w:tcPr>
            <w:tcW w:w="16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本年制发件数</w:t>
            </w:r>
          </w:p>
        </w:tc>
        <w:tc>
          <w:tcPr>
            <w:tcW w:w="21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本年废止件数</w:t>
            </w:r>
          </w:p>
        </w:tc>
        <w:tc>
          <w:tcPr>
            <w:tcW w:w="2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  <w:jc w:val="center"/>
        </w:trPr>
        <w:tc>
          <w:tcPr>
            <w:tcW w:w="16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规章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21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2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7" w:hRule="atLeast"/>
          <w:jc w:val="center"/>
        </w:trPr>
        <w:tc>
          <w:tcPr>
            <w:tcW w:w="16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行政规范性文件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21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2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  <w:jc w:val="center"/>
        </w:trPr>
        <w:tc>
          <w:tcPr>
            <w:tcW w:w="860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  <w:jc w:val="center"/>
        </w:trPr>
        <w:tc>
          <w:tcPr>
            <w:tcW w:w="16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69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  <w:jc w:val="center"/>
        </w:trPr>
        <w:tc>
          <w:tcPr>
            <w:tcW w:w="16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行政许可</w:t>
            </w:r>
          </w:p>
        </w:tc>
        <w:tc>
          <w:tcPr>
            <w:tcW w:w="69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792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  <w:jc w:val="center"/>
        </w:trPr>
        <w:tc>
          <w:tcPr>
            <w:tcW w:w="860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  <w:jc w:val="center"/>
        </w:trPr>
        <w:tc>
          <w:tcPr>
            <w:tcW w:w="16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69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  <w:jc w:val="center"/>
        </w:trPr>
        <w:tc>
          <w:tcPr>
            <w:tcW w:w="16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行政处罚</w:t>
            </w:r>
          </w:p>
        </w:tc>
        <w:tc>
          <w:tcPr>
            <w:tcW w:w="69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  <w:jc w:val="center"/>
        </w:trPr>
        <w:tc>
          <w:tcPr>
            <w:tcW w:w="16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行政强制</w:t>
            </w:r>
          </w:p>
        </w:tc>
        <w:tc>
          <w:tcPr>
            <w:tcW w:w="69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  <w:jc w:val="center"/>
        </w:trPr>
        <w:tc>
          <w:tcPr>
            <w:tcW w:w="860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  <w:jc w:val="center"/>
        </w:trPr>
        <w:tc>
          <w:tcPr>
            <w:tcW w:w="16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6947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  <w:jc w:val="center"/>
        </w:trPr>
        <w:tc>
          <w:tcPr>
            <w:tcW w:w="16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行政事业性收费</w:t>
            </w:r>
          </w:p>
        </w:tc>
        <w:tc>
          <w:tcPr>
            <w:tcW w:w="6947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78.48</w:t>
            </w:r>
          </w:p>
        </w:tc>
      </w:tr>
    </w:tbl>
    <w:p>
      <w:pPr>
        <w:widowControl/>
        <w:shd w:val="clear" w:color="auto" w:fill="FFFFFF"/>
        <w:jc w:val="left"/>
        <w:rPr>
          <w:rFonts w:ascii="仿宋_GB2312" w:hAnsi="微软雅黑" w:eastAsia="仿宋_GB2312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after="144"/>
        <w:ind w:firstLine="480"/>
        <w:jc w:val="left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2"/>
          <w:szCs w:val="32"/>
        </w:rPr>
        <w:t>三、收到和处理政府信息公开申请情况</w:t>
      </w:r>
    </w:p>
    <w:tbl>
      <w:tblPr>
        <w:tblStyle w:val="7"/>
        <w:tblW w:w="8596" w:type="dxa"/>
        <w:jc w:val="center"/>
        <w:tblInd w:w="-67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2"/>
        <w:gridCol w:w="1056"/>
        <w:gridCol w:w="2293"/>
        <w:gridCol w:w="541"/>
        <w:gridCol w:w="541"/>
        <w:gridCol w:w="523"/>
        <w:gridCol w:w="523"/>
        <w:gridCol w:w="523"/>
        <w:gridCol w:w="523"/>
        <w:gridCol w:w="620"/>
        <w:gridCol w:w="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76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楷体" w:eastAsia="仿宋_GB2312" w:cs="宋体"/>
                <w:color w:val="000000"/>
                <w:kern w:val="0"/>
                <w:sz w:val="32"/>
                <w:szCs w:val="32"/>
              </w:rPr>
              <w:t>（本列数据的勾稽关系为：第一项加第二项之和，等于第三项加第四项之和）</w:t>
            </w:r>
          </w:p>
        </w:tc>
        <w:tc>
          <w:tcPr>
            <w:tcW w:w="3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76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41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自然人</w:t>
            </w:r>
          </w:p>
        </w:tc>
        <w:tc>
          <w:tcPr>
            <w:tcW w:w="26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法人或其他组织</w:t>
            </w:r>
          </w:p>
        </w:tc>
        <w:tc>
          <w:tcPr>
            <w:tcW w:w="661" w:type="dxa"/>
            <w:gridSpan w:val="2"/>
            <w:vMerge w:val="restart"/>
            <w:tcBorders>
              <w:top w:val="single" w:color="auto" w:sz="4" w:space="0"/>
              <w:left w:val="nil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76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4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商业</w:t>
            </w:r>
          </w:p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企业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科研</w:t>
            </w:r>
          </w:p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机构</w:t>
            </w:r>
          </w:p>
        </w:tc>
        <w:tc>
          <w:tcPr>
            <w:tcW w:w="5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社会公益组织</w:t>
            </w:r>
          </w:p>
        </w:tc>
        <w:tc>
          <w:tcPr>
            <w:tcW w:w="5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法律服务机构</w:t>
            </w:r>
          </w:p>
        </w:tc>
        <w:tc>
          <w:tcPr>
            <w:tcW w:w="5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其他</w:t>
            </w:r>
          </w:p>
        </w:tc>
        <w:tc>
          <w:tcPr>
            <w:tcW w:w="661" w:type="dxa"/>
            <w:gridSpan w:val="2"/>
            <w:vMerge w:val="continue"/>
            <w:tcBorders>
              <w:top w:val="single" w:color="auto" w:sz="4" w:space="0"/>
              <w:left w:val="nil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76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一、本年新收政府信息公开申请数量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jc w:val="both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76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二、上年结转政府信息公开申请数量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both"/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12" w:type="dxa"/>
            <w:vMerge w:val="restart"/>
            <w:tcBorders>
              <w:top w:val="nil"/>
              <w:left w:val="single" w:color="auto" w:sz="4" w:space="0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三、本年度办理结果</w:t>
            </w:r>
          </w:p>
        </w:tc>
        <w:tc>
          <w:tcPr>
            <w:tcW w:w="33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（一）予以公开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12" w:type="dxa"/>
            <w:vMerge w:val="continue"/>
            <w:tcBorders>
              <w:top w:val="nil"/>
              <w:left w:val="single" w:color="auto" w:sz="4" w:space="0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3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（二）部分公开</w:t>
            </w:r>
            <w:r>
              <w:rPr>
                <w:rFonts w:hint="eastAsia" w:ascii="仿宋_GB2312" w:hAnsi="楷体" w:eastAsia="仿宋_GB2312" w:cs="宋体"/>
                <w:color w:val="000000"/>
                <w:kern w:val="0"/>
                <w:sz w:val="32"/>
                <w:szCs w:val="32"/>
              </w:rPr>
              <w:t>（区分处理的，只计这一情形，不计其他情形）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both"/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12" w:type="dxa"/>
            <w:vMerge w:val="continue"/>
            <w:tcBorders>
              <w:top w:val="nil"/>
              <w:left w:val="single" w:color="auto" w:sz="4" w:space="0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56" w:type="dxa"/>
            <w:vMerge w:val="restart"/>
            <w:tcBorders>
              <w:top w:val="nil"/>
              <w:left w:val="nil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（三）不予公开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1.属于国家秘密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12" w:type="dxa"/>
            <w:vMerge w:val="continue"/>
            <w:tcBorders>
              <w:top w:val="nil"/>
              <w:left w:val="single" w:color="auto" w:sz="4" w:space="0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2.其他法律行政法规禁止公开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12" w:type="dxa"/>
            <w:vMerge w:val="continue"/>
            <w:tcBorders>
              <w:top w:val="nil"/>
              <w:left w:val="single" w:color="auto" w:sz="4" w:space="0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3.危及“三安全一稳定”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12" w:type="dxa"/>
            <w:vMerge w:val="continue"/>
            <w:tcBorders>
              <w:top w:val="nil"/>
              <w:left w:val="single" w:color="auto" w:sz="4" w:space="0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4.保护第三方合法权益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12" w:type="dxa"/>
            <w:vMerge w:val="continue"/>
            <w:tcBorders>
              <w:top w:val="nil"/>
              <w:left w:val="single" w:color="auto" w:sz="4" w:space="0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5.属于三类内部事务信息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12" w:type="dxa"/>
            <w:vMerge w:val="continue"/>
            <w:tcBorders>
              <w:top w:val="nil"/>
              <w:left w:val="single" w:color="auto" w:sz="4" w:space="0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6.属于四类过程性信息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12" w:type="dxa"/>
            <w:vMerge w:val="continue"/>
            <w:tcBorders>
              <w:top w:val="nil"/>
              <w:left w:val="single" w:color="auto" w:sz="4" w:space="0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7.属于行政执法案卷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12" w:type="dxa"/>
            <w:vMerge w:val="continue"/>
            <w:tcBorders>
              <w:top w:val="nil"/>
              <w:left w:val="single" w:color="auto" w:sz="4" w:space="0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8.属于行政查询事项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12" w:type="dxa"/>
            <w:vMerge w:val="continue"/>
            <w:tcBorders>
              <w:top w:val="nil"/>
              <w:left w:val="single" w:color="auto" w:sz="4" w:space="0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56" w:type="dxa"/>
            <w:vMerge w:val="restart"/>
            <w:tcBorders>
              <w:top w:val="nil"/>
              <w:left w:val="nil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（四）无法提供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1.本机关不掌握相关政府信息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12" w:type="dxa"/>
            <w:vMerge w:val="continue"/>
            <w:tcBorders>
              <w:top w:val="nil"/>
              <w:left w:val="single" w:color="auto" w:sz="4" w:space="0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2.没有现成信息需要另行制作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12" w:type="dxa"/>
            <w:vMerge w:val="continue"/>
            <w:tcBorders>
              <w:top w:val="nil"/>
              <w:left w:val="single" w:color="auto" w:sz="4" w:space="0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3.补正后申请内容仍不明确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12" w:type="dxa"/>
            <w:vMerge w:val="continue"/>
            <w:tcBorders>
              <w:top w:val="nil"/>
              <w:left w:val="single" w:color="auto" w:sz="4" w:space="0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56" w:type="dxa"/>
            <w:vMerge w:val="restart"/>
            <w:tcBorders>
              <w:top w:val="nil"/>
              <w:left w:val="nil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（五）不予处理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1.信访举报投诉类申请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1" w:type="dxa"/>
          <w:jc w:val="center"/>
        </w:trPr>
        <w:tc>
          <w:tcPr>
            <w:tcW w:w="1412" w:type="dxa"/>
            <w:vMerge w:val="continue"/>
            <w:tcBorders>
              <w:top w:val="nil"/>
              <w:left w:val="single" w:color="auto" w:sz="4" w:space="0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2.重复申请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1" w:type="dxa"/>
          <w:jc w:val="center"/>
        </w:trPr>
        <w:tc>
          <w:tcPr>
            <w:tcW w:w="1412" w:type="dxa"/>
            <w:vMerge w:val="continue"/>
            <w:tcBorders>
              <w:top w:val="nil"/>
              <w:left w:val="single" w:color="auto" w:sz="4" w:space="0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3.要求提供公开出版物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1" w:type="dxa"/>
          <w:jc w:val="center"/>
        </w:trPr>
        <w:tc>
          <w:tcPr>
            <w:tcW w:w="1412" w:type="dxa"/>
            <w:vMerge w:val="continue"/>
            <w:tcBorders>
              <w:top w:val="nil"/>
              <w:left w:val="single" w:color="auto" w:sz="4" w:space="0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4.无正当理由大量反复申请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1" w:type="dxa"/>
          <w:trHeight w:val="624" w:hRule="atLeast"/>
          <w:jc w:val="center"/>
        </w:trPr>
        <w:tc>
          <w:tcPr>
            <w:tcW w:w="1412" w:type="dxa"/>
            <w:vMerge w:val="continue"/>
            <w:tcBorders>
              <w:top w:val="nil"/>
              <w:left w:val="single" w:color="auto" w:sz="4" w:space="0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93" w:type="dxa"/>
            <w:tcBorders>
              <w:top w:val="nil"/>
              <w:left w:val="nil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5.要求行政机关确认或重新出具已获取信息</w:t>
            </w:r>
          </w:p>
        </w:tc>
        <w:tc>
          <w:tcPr>
            <w:tcW w:w="541" w:type="dxa"/>
            <w:tcBorders>
              <w:top w:val="nil"/>
              <w:left w:val="nil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1" w:type="dxa"/>
          <w:jc w:val="center"/>
        </w:trPr>
        <w:tc>
          <w:tcPr>
            <w:tcW w:w="1412" w:type="dxa"/>
            <w:vMerge w:val="continue"/>
            <w:tcBorders>
              <w:top w:val="nil"/>
              <w:left w:val="single" w:color="auto" w:sz="4" w:space="0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56" w:type="dxa"/>
            <w:vMerge w:val="restart"/>
            <w:tcBorders>
              <w:top w:val="inset" w:color="auto" w:sz="4" w:space="0"/>
              <w:left w:val="nil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（六）其他处理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1.申请人无正当理由逾期不补正、行政机关不再处理其政府信息公开申请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1" w:type="dxa"/>
          <w:trHeight w:val="3579" w:hRule="atLeast"/>
          <w:jc w:val="center"/>
        </w:trPr>
        <w:tc>
          <w:tcPr>
            <w:tcW w:w="1412" w:type="dxa"/>
            <w:vMerge w:val="continue"/>
            <w:tcBorders>
              <w:top w:val="nil"/>
              <w:left w:val="single" w:color="auto" w:sz="4" w:space="0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56" w:type="dxa"/>
            <w:vMerge w:val="continue"/>
            <w:tcBorders>
              <w:top w:val="inset" w:color="auto" w:sz="4" w:space="0"/>
              <w:left w:val="nil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2.申请人逾期未按收费通知要求缴纳费用、行政机关不再处理其政府信息公开申请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both"/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1" w:type="dxa"/>
          <w:jc w:val="center"/>
        </w:trPr>
        <w:tc>
          <w:tcPr>
            <w:tcW w:w="1412" w:type="dxa"/>
            <w:vMerge w:val="continue"/>
            <w:tcBorders>
              <w:top w:val="nil"/>
              <w:left w:val="single" w:color="auto" w:sz="4" w:space="0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56" w:type="dxa"/>
            <w:vMerge w:val="continue"/>
            <w:tcBorders>
              <w:top w:val="inset" w:color="auto" w:sz="4" w:space="0"/>
              <w:left w:val="nil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3.其他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1" w:type="dxa"/>
          <w:jc w:val="center"/>
        </w:trPr>
        <w:tc>
          <w:tcPr>
            <w:tcW w:w="1412" w:type="dxa"/>
            <w:vMerge w:val="continue"/>
            <w:tcBorders>
              <w:top w:val="nil"/>
              <w:left w:val="single" w:color="auto" w:sz="4" w:space="0"/>
              <w:bottom w:val="inset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3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（七）总计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1" w:type="dxa"/>
          <w:jc w:val="center"/>
        </w:trPr>
        <w:tc>
          <w:tcPr>
            <w:tcW w:w="476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四、结转下年度继续办理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48" w:type="dxa"/>
              <w:bottom w:w="0" w:type="dxa"/>
              <w:right w:w="48" w:type="dxa"/>
            </w:tcMar>
            <w:vAlign w:val="top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</w:tr>
    </w:tbl>
    <w:p>
      <w:pPr>
        <w:widowControl/>
        <w:shd w:val="clear" w:color="auto" w:fill="FFFFFF"/>
        <w:spacing w:after="144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ind w:firstLine="480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2"/>
          <w:szCs w:val="32"/>
        </w:rPr>
        <w:t>四、政府信息公开行政复议、行政诉讼情况</w:t>
      </w:r>
    </w:p>
    <w:tbl>
      <w:tblPr>
        <w:tblStyle w:val="7"/>
        <w:tblW w:w="780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6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行政复议</w:t>
            </w:r>
          </w:p>
        </w:tc>
        <w:tc>
          <w:tcPr>
            <w:tcW w:w="52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结果维持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结果</w:t>
            </w: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br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纠正</w:t>
            </w:r>
          </w:p>
        </w:tc>
        <w:tc>
          <w:tcPr>
            <w:tcW w:w="5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其他</w:t>
            </w: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br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结果</w:t>
            </w:r>
          </w:p>
        </w:tc>
        <w:tc>
          <w:tcPr>
            <w:tcW w:w="5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尚未</w:t>
            </w: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br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审结</w:t>
            </w:r>
          </w:p>
        </w:tc>
        <w:tc>
          <w:tcPr>
            <w:tcW w:w="5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总计</w:t>
            </w:r>
          </w:p>
        </w:tc>
        <w:tc>
          <w:tcPr>
            <w:tcW w:w="26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未经复议直接起诉</w:t>
            </w:r>
          </w:p>
        </w:tc>
        <w:tc>
          <w:tcPr>
            <w:tcW w:w="26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结果</w:t>
            </w: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br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维持</w:t>
            </w:r>
          </w:p>
        </w:tc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结果</w:t>
            </w: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br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纠正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其他</w:t>
            </w: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br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结果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尚未</w:t>
            </w: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br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审结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总计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结果</w:t>
            </w: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br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维持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结果</w:t>
            </w: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br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纠正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其他</w:t>
            </w: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br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结果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尚未</w:t>
            </w: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br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审结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</w:tr>
    </w:tbl>
    <w:p>
      <w:pPr>
        <w:widowControl/>
        <w:shd w:val="clear" w:color="auto" w:fill="FFFFFF"/>
        <w:jc w:val="left"/>
        <w:rPr>
          <w:rFonts w:ascii="仿宋_GB2312" w:hAnsi="微软雅黑" w:eastAsia="仿宋_GB2312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ind w:firstLine="480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2"/>
          <w:szCs w:val="32"/>
        </w:rPr>
        <w:t>五、存在的主要问题及改进情况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 w:val="0"/>
          <w:color w:val="000000"/>
          <w:kern w:val="0"/>
          <w:sz w:val="32"/>
          <w:szCs w:val="32"/>
        </w:rPr>
        <w:t>（一）存在的主要问题。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一是城市管理的难点和痛点多，与群众的直接利益联系非常紧密，政务公开涉及面广、政策性强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政务信息公开的体制机制仍需进一步完善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二是上传内容单调、形式单一，政务新媒体平台工作没有创新性，宣传力度不够，普及人员太少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政务信息公开的形式有待进一步丰富。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 w:val="0"/>
          <w:color w:val="000000"/>
          <w:kern w:val="0"/>
          <w:sz w:val="32"/>
          <w:szCs w:val="32"/>
        </w:rPr>
        <w:t>（二）下一步改进措施。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一是进一步健全完善政府信息公开工作的长效机制。多形式、多渠道进行政务公开，进一步拓展覆盖面，把涉及人民群众切身利益的各类事项作为公开的重点，进一步加大网上公开力度，接受社会的监督；实施政府信息公开，进一步完善相关制度建设，建立健全内部信息沟通协调机制，实现信息公开的制度化、规范化、常态化，形成信息公开的长效机制。二是建立健全政务新媒体日常管理机制。将政务新媒体工作纳入常态化管理。在相关部门的组织下，积极参加各类政务新媒体相关的培训，主动向做得较好的单位进行请教学习，不断提升政务新媒体平台管理理论水平和业务技能。</w:t>
      </w:r>
    </w:p>
    <w:p>
      <w:pPr>
        <w:widowControl/>
        <w:shd w:val="clear" w:color="auto" w:fill="FFFFFF"/>
        <w:ind w:firstLine="48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2"/>
          <w:szCs w:val="32"/>
        </w:rPr>
        <w:t>六、其他需要报告的事项</w:t>
      </w:r>
    </w:p>
    <w:p>
      <w:pPr>
        <w:widowControl/>
        <w:shd w:val="clear" w:color="auto" w:fill="FFFFFF"/>
        <w:ind w:firstLine="48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无</w:t>
      </w:r>
    </w:p>
    <w:p>
      <w:pPr>
        <w:rPr>
          <w:rFonts w:ascii="仿宋_GB2312" w:eastAsia="仿宋_GB2312"/>
          <w:color w:val="000000"/>
          <w:sz w:val="32"/>
          <w:szCs w:val="32"/>
        </w:rPr>
      </w:pPr>
    </w:p>
    <w:sectPr>
      <w:pgSz w:w="11906" w:h="16838"/>
      <w:pgMar w:top="0" w:right="1531" w:bottom="0" w:left="1531" w:header="851" w:footer="992" w:gutter="0"/>
      <w:paperSrc w:first="0" w:oth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odoni Poster">
    <w:panose1 w:val="02070A04080905020204"/>
    <w:charset w:val="00"/>
    <w:family w:val="auto"/>
    <w:pitch w:val="default"/>
    <w:sig w:usb0="00000000" w:usb1="00000000" w:usb2="00000000" w:usb3="00000000" w:csb0="00000000" w:csb1="00000000"/>
  </w:font>
  <w:font w:name="Bodoni PosterCompressed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ook Antiqua">
    <w:panose1 w:val="02040602050305030304"/>
    <w:charset w:val="00"/>
    <w:family w:val="auto"/>
    <w:pitch w:val="default"/>
    <w:sig w:usb0="00000287" w:usb1="00000000" w:usb2="00000000" w:usb3="00000000" w:csb0="2000009F" w:csb1="DFD70000"/>
  </w:font>
  <w:font w:name="Bookman Old Style">
    <w:panose1 w:val="02050604050505020204"/>
    <w:charset w:val="00"/>
    <w:family w:val="auto"/>
    <w:pitch w:val="default"/>
    <w:sig w:usb0="00000287" w:usb1="00000000" w:usb2="00000000" w:usb3="00000000" w:csb0="2000009F" w:csb1="DFD7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Bradley Hand ITC">
    <w:panose1 w:val="03070402050302030203"/>
    <w:charset w:val="00"/>
    <w:family w:val="auto"/>
    <w:pitch w:val="default"/>
    <w:sig w:usb0="00000003" w:usb1="00000000" w:usb2="00000000" w:usb3="00000000" w:csb0="20000001" w:csb1="00000000"/>
  </w:font>
  <w:font w:name="Candara">
    <w:panose1 w:val="020E0502030303020204"/>
    <w:charset w:val="00"/>
    <w:family w:val="auto"/>
    <w:pitch w:val="default"/>
    <w:sig w:usb0="A00002EF" w:usb1="4000A44B" w:usb2="00000000" w:usb3="00000000" w:csb0="2000019F" w:csb1="00000000"/>
  </w:font>
  <w:font w:name="Complex">
    <w:panose1 w:val="00000400000000000000"/>
    <w:charset w:val="00"/>
    <w:family w:val="auto"/>
    <w:pitch w:val="default"/>
    <w:sig w:usb0="00000287" w:usb1="00001800" w:usb2="00000000" w:usb3="00000000" w:csb0="0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Constantia">
    <w:panose1 w:val="02030602050306030303"/>
    <w:charset w:val="00"/>
    <w:family w:val="auto"/>
    <w:pitch w:val="default"/>
    <w:sig w:usb0="A00002EF" w:usb1="4000204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400AD9"/>
    <w:rsid w:val="000704A0"/>
    <w:rsid w:val="00115F1C"/>
    <w:rsid w:val="001A369E"/>
    <w:rsid w:val="002826EF"/>
    <w:rsid w:val="002E1664"/>
    <w:rsid w:val="003428BF"/>
    <w:rsid w:val="00385291"/>
    <w:rsid w:val="00400AD9"/>
    <w:rsid w:val="00416CC5"/>
    <w:rsid w:val="00482CB6"/>
    <w:rsid w:val="004D1226"/>
    <w:rsid w:val="00511045"/>
    <w:rsid w:val="00552CFD"/>
    <w:rsid w:val="0059462E"/>
    <w:rsid w:val="005B31A0"/>
    <w:rsid w:val="005C06FD"/>
    <w:rsid w:val="00697EF7"/>
    <w:rsid w:val="006F0760"/>
    <w:rsid w:val="006F66BF"/>
    <w:rsid w:val="00707296"/>
    <w:rsid w:val="00882B39"/>
    <w:rsid w:val="0091083B"/>
    <w:rsid w:val="00A07ACF"/>
    <w:rsid w:val="00A12C54"/>
    <w:rsid w:val="00A40C21"/>
    <w:rsid w:val="00AE7EAF"/>
    <w:rsid w:val="00B71960"/>
    <w:rsid w:val="00BA5156"/>
    <w:rsid w:val="00BB1444"/>
    <w:rsid w:val="00C211FC"/>
    <w:rsid w:val="00C514EB"/>
    <w:rsid w:val="00C701B9"/>
    <w:rsid w:val="00C716D2"/>
    <w:rsid w:val="00CA364B"/>
    <w:rsid w:val="00E521DF"/>
    <w:rsid w:val="00EF2583"/>
    <w:rsid w:val="00EF766B"/>
    <w:rsid w:val="00FC79D4"/>
    <w:rsid w:val="00FE643F"/>
    <w:rsid w:val="15C56310"/>
    <w:rsid w:val="1EDE742D"/>
    <w:rsid w:val="203A1CB8"/>
    <w:rsid w:val="3B6561E0"/>
    <w:rsid w:val="3F1137D0"/>
    <w:rsid w:val="43AC2FE5"/>
    <w:rsid w:val="49712A55"/>
    <w:rsid w:val="5D3E377B"/>
    <w:rsid w:val="5FA87848"/>
    <w:rsid w:val="69D21A89"/>
    <w:rsid w:val="76CC2FBE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semiHidden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uiPriority w:val="0"/>
    <w:pPr>
      <w:ind w:left="420" w:leftChars="200"/>
    </w:p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325</Words>
  <Characters>1857</Characters>
  <Lines>15</Lines>
  <Paragraphs>4</Paragraphs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2021-12-29T02:36:00Z</dcterms:created>
  <dc:creator>Administrator</dc:creator>
  <cp:lastModifiedBy>牡丹江市城市管理综合执法局</cp:lastModifiedBy>
  <cp:lastPrinted>2023-01-13T03:03:00Z</cp:lastPrinted>
  <dcterms:modified xsi:type="dcterms:W3CDTF">2023-01-17T01:37:21Z</dcterms:modified>
  <dc:title>牡丹江市城市管理综合执法局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