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30" w:lineRule="atLeas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牡丹江市营商环境建设监督局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年政府信息公开工作年度报告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2023年1月20日</w:t>
      </w:r>
    </w:p>
    <w:p>
      <w:pPr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市营商局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深入贯彻落实《中华人民共和国政府信息公开条例》要求，围绕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委、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政府中心工作，认真开展信息公开工作，不断完善政府信息公开机制，强化政务新媒体平台建设，提升信息公开质量，加大监督保障力度，积极回应群众关切，较好地完成了本年度政府信息公开工作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所列数据统计期限为2022年1月1日至12月31日。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总体情况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2022年，我局全面落实信息公开条例，夯实主动公开工作基础，规范依申请公开办理流程，健全政府信息全链条管理，开展信息公开平台建设，加大监督保障力度，全力推进政府信息公开工作。</w:t>
      </w: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一是主动公开全面落实。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市营商局通过政府信息公开方式全年公开信息共49条，包括有关优化营商环境工作的政策解读、行政规范性文件、通知公告、文件发布、涉企文件及信息、新闻信息等。局微信公众号共发布信息136篇。</w:t>
      </w: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二是依法规范依申请公开。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畅通受理渠道、精准规范答复意见。全年未收到政府信息公开申请。</w:t>
      </w: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三是加强政府信息管理。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依据《牡丹江市营商环境建设监督局政务公开制度》《牡丹江市营商环境建设监督局政务信息工作制度》《牡丹江市营商环境建设监督局新闻宣传工作制度》《牡丹江市营商环境建设监督局信息化建设管理制度》等有关政务公开工作制度，梳理定位政府信息在公开平台发布栏目，强化对发布前审核、发布后更新及文件有效性的管理。 </w:t>
      </w: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四是完善政务公开平台。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我局依托黑龙江政务服务网实现了政务信息的公开公示，其中，公示了牡丹江市政务服务部门及事项清单、“一网通办”事项、“最多跑一次”高频事项、“一次办”事项、缴费清单等政务服务清单；公示了483条通知公告、36条政务资讯、11条优惠政策、29条政策解读等政策资讯内容，让企业群众更加清晰地了解政务服务事项及政策措施，更好实现事项网上办、掌上办、一次办，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做到“办事不求人”。</w:t>
      </w: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五是强化监督保障功能。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以依法公开、真实公开、注重实效、有力监督为基本原则，便利群众知情，利于群众监督，让广大人民群众充分享有知情权。政务公开工作纳入平时履职考核管理，填写工作清单，对重点领域、重点部位、关键环节应该公开而不公开或公开不到位，解答群众咨询不到位，引起群众不满意等情况，追究相关人员责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4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45"/>
        <w:gridCol w:w="1670"/>
        <w:gridCol w:w="2430"/>
        <w:gridCol w:w="244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2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第二十条第（一）项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7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信息内容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本年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制发件数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本年废止件数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现行有效件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7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规章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7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行政规范性文件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29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第二十条第（五）项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7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信息内容</w:t>
            </w:r>
          </w:p>
        </w:tc>
        <w:tc>
          <w:tcPr>
            <w:tcW w:w="65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本年处理决定数量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7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行政许可</w:t>
            </w:r>
          </w:p>
        </w:tc>
        <w:tc>
          <w:tcPr>
            <w:tcW w:w="65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6733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29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第二十条第（六）项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7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信息内容</w:t>
            </w:r>
          </w:p>
        </w:tc>
        <w:tc>
          <w:tcPr>
            <w:tcW w:w="65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本年处理决定数量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7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行政处罚</w:t>
            </w:r>
          </w:p>
        </w:tc>
        <w:tc>
          <w:tcPr>
            <w:tcW w:w="65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7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行政强制</w:t>
            </w:r>
          </w:p>
        </w:tc>
        <w:tc>
          <w:tcPr>
            <w:tcW w:w="65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29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第二十条第（八）项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7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信息内容</w:t>
            </w:r>
          </w:p>
        </w:tc>
        <w:tc>
          <w:tcPr>
            <w:tcW w:w="6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本年收费金额（单位：万元）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7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行政事业性收费</w:t>
            </w:r>
          </w:p>
        </w:tc>
        <w:tc>
          <w:tcPr>
            <w:tcW w:w="6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新宋体" w:hAnsi="新宋体" w:eastAsia="新宋体" w:cs="新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新宋体" w:hAnsi="新宋体" w:eastAsia="新宋体" w:cs="新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4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948"/>
        <w:gridCol w:w="2624"/>
        <w:gridCol w:w="625"/>
        <w:gridCol w:w="625"/>
        <w:gridCol w:w="625"/>
        <w:gridCol w:w="625"/>
        <w:gridCol w:w="625"/>
        <w:gridCol w:w="625"/>
        <w:gridCol w:w="40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7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（本列数据的勾稽关系为：第一项加第二项之和，等于第三项加第四项之和）</w:t>
            </w:r>
          </w:p>
        </w:tc>
        <w:tc>
          <w:tcPr>
            <w:tcW w:w="4679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7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自然人</w:t>
            </w:r>
          </w:p>
        </w:tc>
        <w:tc>
          <w:tcPr>
            <w:tcW w:w="355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法人或其他组织</w:t>
            </w:r>
          </w:p>
        </w:tc>
        <w:tc>
          <w:tcPr>
            <w:tcW w:w="41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7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商业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企业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科研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机构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社会公益组织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法律服务机构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其他</w:t>
            </w:r>
          </w:p>
        </w:tc>
        <w:tc>
          <w:tcPr>
            <w:tcW w:w="41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7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一、本年新收政府信息公开申请数量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7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二、上年结转政府信息公开申请数量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三、本年度办理结果</w:t>
            </w:r>
          </w:p>
        </w:tc>
        <w:tc>
          <w:tcPr>
            <w:tcW w:w="42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（一）予以公开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（二）部分公开（区分处理的，只计这一情形，不计其他情形）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（三）不予公开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1.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属于国家秘密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2.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其他法律行政法规禁止公开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3.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危及“三安全一稳定”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4.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保护第三方合法权益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5.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属于三类内部事务信息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6.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属于四类过程性信息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7.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属于行政执法案卷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8.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属于行政查询事项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（四）无法提供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1.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本机关不掌握相关政府信息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2.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没有现成信息需要另行制作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3.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补正后申请内容仍不明确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（五）不予处理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1.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信访举报投诉类申请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2.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重复申请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3.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要求提供公开出版物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4.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无正当理由大量反复申请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5.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要求行政机关确认或重新出具已获取信息</w:t>
            </w:r>
          </w:p>
        </w:tc>
        <w:tc>
          <w:tcPr>
            <w:tcW w:w="71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（六）其他处理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1.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申请人无正当理由逾期不补正、行政机关不再处理其政府信息公开申请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2.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申请人逾期未按收费通知要求缴纳费用、行政机关不再处理其政府信息公开申请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val="en-US"/>
              </w:rPr>
              <w:t>3.</w:t>
            </w: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其他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（七）总计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7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四、结转下年度继续办理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新宋体" w:hAnsi="新宋体" w:eastAsia="新宋体" w:cs="新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新宋体" w:hAnsi="新宋体" w:eastAsia="新宋体" w:cs="新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4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6"/>
        <w:gridCol w:w="60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行政复议</w:t>
            </w:r>
          </w:p>
        </w:tc>
        <w:tc>
          <w:tcPr>
            <w:tcW w:w="6525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结果维持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结果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纠正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其他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结果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尚未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审结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总计</w:t>
            </w:r>
          </w:p>
        </w:tc>
        <w:tc>
          <w:tcPr>
            <w:tcW w:w="322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未经复议直接起诉</w:t>
            </w:r>
          </w:p>
        </w:tc>
        <w:tc>
          <w:tcPr>
            <w:tcW w:w="33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结果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维持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结果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纠正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其他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结果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尚未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审结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总计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结果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维持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结果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纠正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新宋体"/>
                <w:sz w:val="27"/>
                <w:szCs w:val="27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其他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结果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新宋体" w:hAnsi="新宋体" w:eastAsia="新宋体" w:cs="新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尚未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sz w:val="27"/>
                <w:szCs w:val="27"/>
              </w:rPr>
              <w:t>审结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7"/>
                <w:szCs w:val="27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6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27"/>
                <w:szCs w:val="27"/>
                <w:lang w:val="en-US" w:eastAsia="zh-CN" w:bidi="ar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20" w:lineRule="atLeast"/>
        <w:ind w:left="0" w:right="0" w:firstLine="640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五、存在的主要问题及改进情况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我局高度重视政务公开工作，在全局上下的共同努力下取得了一定成效，但与高质量完成政务公开工作的要求相比还存在一定差距，具体表现在：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主动向社会公开信息的领域需进一步拓展，下一步将更贴近公众需求，加大对公众关注领域的公开力度。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二是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信息发布平台建设力量偏弱，下一步将设立专人负责平台日常的运营、维护和管理工作。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三是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政务公开的形式还需进一步丰富，下一步将通过更灵活有效的方式为公众提供更多、更新的政府信息。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20" w:lineRule="atLeast"/>
        <w:ind w:left="0" w:right="0" w:firstLine="640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六、其他需要报告的事项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20" w:lineRule="atLeast"/>
        <w:ind w:left="0" w:right="0" w:firstLine="64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无。</w:t>
      </w: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0" w:right="1800" w:bottom="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9B55CB"/>
    <w:multiLevelType w:val="singleLevel"/>
    <w:tmpl w:val="B09B55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jY2YzYTk0ZGE2OGQ1MWQyMTU3YTY1NTc2OTRhN2UifQ=="/>
  </w:docVars>
  <w:rsids>
    <w:rsidRoot w:val="0F137903"/>
    <w:rsid w:val="0F137903"/>
    <w:rsid w:val="1EDC7521"/>
    <w:rsid w:val="273535B1"/>
    <w:rsid w:val="38B80135"/>
    <w:rsid w:val="39DE3724"/>
    <w:rsid w:val="42F6220C"/>
    <w:rsid w:val="58143785"/>
    <w:rsid w:val="7D583D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2029</Words>
  <Characters>2077</Characters>
  <Lines>0</Lines>
  <Paragraphs>0</Paragraphs>
  <TotalTime>0</TotalTime>
  <ScaleCrop>false</ScaleCrop>
  <LinksUpToDate>false</LinksUpToDate>
  <CharactersWithSpaces>2077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2023-01-12T00:53:00Z</dcterms:created>
  <dc:creator>很简单</dc:creator>
  <cp:lastModifiedBy>很简单</cp:lastModifiedBy>
  <dcterms:modified xsi:type="dcterms:W3CDTF">2023-03-20T06:50:59Z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EF501A153B584E61B3941CE7FE3DF751</vt:lpwstr>
  </property>
</Properties>
</file>