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eastAsia="宋体" w:cs="宋体"/>
          <w:b/>
          <w:bCs/>
          <w:color w:val="333333"/>
          <w:kern w:val="0"/>
          <w:sz w:val="44"/>
          <w:szCs w:val="44"/>
        </w:rPr>
      </w:pPr>
      <w:bookmarkStart w:id="0" w:name="_GoBack"/>
      <w:bookmarkEnd w:id="0"/>
      <w:r>
        <w:rPr>
          <w:rFonts w:hint="eastAsia" w:ascii="宋体" w:hAnsi="宋体" w:eastAsia="宋体" w:cs="宋体"/>
          <w:b/>
          <w:bCs/>
          <w:color w:val="333333"/>
          <w:kern w:val="0"/>
          <w:sz w:val="44"/>
          <w:szCs w:val="44"/>
        </w:rPr>
        <w:t>牡丹江市经济合作促进局</w:t>
      </w:r>
    </w:p>
    <w:p>
      <w:pPr>
        <w:widowControl/>
        <w:shd w:val="clear" w:color="auto" w:fill="FFFFFF"/>
        <w:jc w:val="center"/>
        <w:rPr>
          <w:rFonts w:hint="eastAsia" w:ascii="宋体" w:hAnsi="宋体" w:eastAsia="宋体" w:cs="宋体"/>
          <w:b/>
          <w:bCs/>
          <w:color w:val="333333"/>
          <w:kern w:val="0"/>
          <w:sz w:val="44"/>
          <w:szCs w:val="44"/>
        </w:rPr>
      </w:pPr>
      <w:r>
        <w:rPr>
          <w:rFonts w:hint="eastAsia" w:ascii="宋体" w:hAnsi="宋体" w:eastAsia="宋体" w:cs="宋体"/>
          <w:b/>
          <w:bCs/>
          <w:color w:val="333333"/>
          <w:kern w:val="0"/>
          <w:sz w:val="44"/>
          <w:szCs w:val="44"/>
        </w:rPr>
        <w:t>202</w:t>
      </w:r>
      <w:r>
        <w:rPr>
          <w:rFonts w:hint="default" w:ascii="宋体" w:hAnsi="宋体" w:eastAsia="宋体" w:cs="宋体"/>
          <w:b/>
          <w:bCs/>
          <w:color w:val="333333"/>
          <w:kern w:val="0"/>
          <w:sz w:val="44"/>
          <w:szCs w:val="44"/>
        </w:rPr>
        <w:t>1</w:t>
      </w:r>
      <w:r>
        <w:rPr>
          <w:rFonts w:hint="eastAsia" w:ascii="宋体" w:hAnsi="宋体" w:eastAsia="宋体" w:cs="宋体"/>
          <w:b/>
          <w:bCs/>
          <w:color w:val="333333"/>
          <w:kern w:val="0"/>
          <w:sz w:val="44"/>
          <w:szCs w:val="44"/>
        </w:rPr>
        <w:t>年政府信息公开工作年度报告</w:t>
      </w:r>
    </w:p>
    <w:p>
      <w:pPr>
        <w:widowControl/>
        <w:shd w:val="clear" w:color="auto" w:fill="FFFFFF"/>
        <w:jc w:val="center"/>
        <w:rPr>
          <w:rFonts w:hint="eastAsia" w:ascii="楷体" w:hAnsi="楷体" w:eastAsia="楷体" w:cs="楷体"/>
          <w:b w:val="0"/>
          <w:bCs w:val="0"/>
          <w:color w:val="333333"/>
          <w:kern w:val="0"/>
          <w:sz w:val="32"/>
          <w:szCs w:val="32"/>
        </w:rPr>
      </w:pPr>
      <w:r>
        <w:rPr>
          <w:rFonts w:hint="eastAsia" w:ascii="楷体" w:hAnsi="楷体" w:eastAsia="楷体" w:cs="楷体"/>
          <w:b w:val="0"/>
          <w:bCs w:val="0"/>
          <w:color w:val="333333"/>
          <w:kern w:val="0"/>
          <w:sz w:val="32"/>
          <w:szCs w:val="32"/>
        </w:rPr>
        <w:t>2022年1月</w:t>
      </w:r>
      <w:r>
        <w:rPr>
          <w:rFonts w:hint="default" w:ascii="楷体" w:hAnsi="楷体" w:eastAsia="楷体" w:cs="楷体"/>
          <w:b w:val="0"/>
          <w:bCs w:val="0"/>
          <w:color w:val="333333"/>
          <w:kern w:val="0"/>
          <w:sz w:val="32"/>
          <w:szCs w:val="32"/>
        </w:rPr>
        <w:t>26</w:t>
      </w:r>
      <w:r>
        <w:rPr>
          <w:rFonts w:hint="eastAsia" w:ascii="楷体" w:hAnsi="楷体" w:eastAsia="楷体" w:cs="楷体"/>
          <w:b w:val="0"/>
          <w:bCs w:val="0"/>
          <w:color w:val="333333"/>
          <w:kern w:val="0"/>
          <w:sz w:val="32"/>
          <w:szCs w:val="32"/>
        </w:rPr>
        <w:t>日</w:t>
      </w:r>
    </w:p>
    <w:p>
      <w:pPr>
        <w:widowControl/>
        <w:shd w:val="clear" w:color="auto" w:fill="FFFFFF"/>
        <w:jc w:val="center"/>
        <w:rPr>
          <w:rFonts w:ascii="宋体" w:hAnsi="宋体" w:eastAsia="宋体" w:cs="宋体"/>
          <w:b/>
          <w:bCs/>
          <w:color w:val="333333"/>
          <w:kern w:val="0"/>
          <w:sz w:val="28"/>
          <w:szCs w:val="28"/>
        </w:rPr>
      </w:pPr>
    </w:p>
    <w:p>
      <w:pPr>
        <w:widowControl/>
        <w:shd w:val="clear" w:color="auto" w:fill="FFFFFF"/>
        <w:rPr>
          <w:rFonts w:ascii="仿宋_GB2312" w:hAnsi="宋体" w:eastAsia="仿宋_GB2312" w:cs="宋体"/>
          <w:bCs/>
          <w:color w:val="333333"/>
          <w:kern w:val="0"/>
          <w:sz w:val="32"/>
          <w:szCs w:val="32"/>
        </w:rPr>
      </w:pPr>
      <w:r>
        <w:rPr>
          <w:rFonts w:hint="eastAsia" w:ascii="仿宋_GB2312" w:hAnsi="宋体" w:eastAsia="仿宋_GB2312" w:cs="宋体"/>
          <w:bCs/>
          <w:color w:val="333333"/>
          <w:kern w:val="0"/>
          <w:sz w:val="32"/>
          <w:szCs w:val="32"/>
        </w:rPr>
        <w:t xml:space="preserve">    根据《中华人民共和国政府信息公开条例》（新修订）</w:t>
      </w:r>
      <w:r>
        <w:rPr>
          <w:rFonts w:hint="eastAsia" w:ascii="仿宋_GB2312" w:eastAsia="仿宋_GB2312"/>
          <w:color w:val="333333"/>
          <w:sz w:val="32"/>
          <w:szCs w:val="32"/>
          <w:shd w:val="clear" w:color="auto" w:fill="FFFFFF"/>
        </w:rPr>
        <w:t>文件要求，不断健全完善政务信息公开工作制度，扎实做好政务信息公开工作，切实保障人民群众的知情权、参与权、监督权和表达权。现将我局20</w:t>
      </w:r>
      <w:r>
        <w:rPr>
          <w:rFonts w:hint="default" w:ascii="仿宋_GB2312" w:eastAsia="仿宋_GB2312"/>
          <w:color w:val="333333"/>
          <w:sz w:val="32"/>
          <w:szCs w:val="32"/>
          <w:shd w:val="clear" w:color="auto" w:fill="FFFFFF"/>
        </w:rPr>
        <w:t>21</w:t>
      </w:r>
      <w:r>
        <w:rPr>
          <w:rFonts w:hint="eastAsia" w:ascii="仿宋_GB2312" w:eastAsia="仿宋_GB2312"/>
          <w:color w:val="333333"/>
          <w:sz w:val="32"/>
          <w:szCs w:val="32"/>
          <w:shd w:val="clear" w:color="auto" w:fill="FFFFFF"/>
        </w:rPr>
        <w:t>年度政府信息公开工作报告</w:t>
      </w:r>
      <w:r>
        <w:rPr>
          <w:rFonts w:hint="default" w:ascii="仿宋_GB2312" w:eastAsia="仿宋_GB2312"/>
          <w:color w:val="333333"/>
          <w:sz w:val="32"/>
          <w:szCs w:val="32"/>
          <w:shd w:val="clear" w:color="auto" w:fill="FFFFFF"/>
        </w:rPr>
        <w:t>总结</w:t>
      </w:r>
      <w:r>
        <w:rPr>
          <w:rFonts w:hint="eastAsia" w:ascii="仿宋_GB2312" w:eastAsia="仿宋_GB2312"/>
          <w:color w:val="333333"/>
          <w:sz w:val="32"/>
          <w:szCs w:val="32"/>
          <w:shd w:val="clear" w:color="auto" w:fill="FFFFFF"/>
        </w:rPr>
        <w:t>如下（报告中涉及数据时间为</w:t>
      </w:r>
      <w:r>
        <w:rPr>
          <w:rFonts w:hint="eastAsia" w:ascii="仿宋_GB2312" w:hAnsi="微软雅黑" w:eastAsia="仿宋_GB2312"/>
          <w:color w:val="333333"/>
          <w:sz w:val="32"/>
          <w:szCs w:val="32"/>
          <w:shd w:val="clear" w:color="auto" w:fill="FFFFFF"/>
        </w:rPr>
        <w:t>202</w:t>
      </w:r>
      <w:r>
        <w:rPr>
          <w:rFonts w:hint="default" w:ascii="仿宋_GB2312" w:hAnsi="微软雅黑" w:eastAsia="仿宋_GB2312"/>
          <w:color w:val="333333"/>
          <w:sz w:val="32"/>
          <w:szCs w:val="32"/>
          <w:shd w:val="clear" w:color="auto" w:fill="FFFFFF"/>
        </w:rPr>
        <w:t>1</w:t>
      </w:r>
      <w:r>
        <w:rPr>
          <w:rFonts w:hint="eastAsia" w:ascii="仿宋_GB2312" w:eastAsia="仿宋_GB2312"/>
          <w:color w:val="333333"/>
          <w:sz w:val="32"/>
          <w:szCs w:val="32"/>
          <w:shd w:val="clear" w:color="auto" w:fill="FFFFFF"/>
        </w:rPr>
        <w:t>年</w:t>
      </w:r>
      <w:r>
        <w:rPr>
          <w:rFonts w:hint="eastAsia" w:ascii="仿宋_GB2312" w:hAnsi="微软雅黑" w:eastAsia="仿宋_GB2312"/>
          <w:color w:val="333333"/>
          <w:sz w:val="32"/>
          <w:szCs w:val="32"/>
          <w:shd w:val="clear" w:color="auto" w:fill="FFFFFF"/>
        </w:rPr>
        <w:t>1</w:t>
      </w:r>
      <w:r>
        <w:rPr>
          <w:rFonts w:hint="eastAsia" w:ascii="仿宋_GB2312" w:eastAsia="仿宋_GB2312"/>
          <w:color w:val="333333"/>
          <w:sz w:val="32"/>
          <w:szCs w:val="32"/>
          <w:shd w:val="clear" w:color="auto" w:fill="FFFFFF"/>
        </w:rPr>
        <w:t>月</w:t>
      </w:r>
      <w:r>
        <w:rPr>
          <w:rFonts w:hint="eastAsia" w:ascii="仿宋_GB2312" w:hAnsi="微软雅黑" w:eastAsia="仿宋_GB2312"/>
          <w:color w:val="333333"/>
          <w:sz w:val="32"/>
          <w:szCs w:val="32"/>
          <w:shd w:val="clear" w:color="auto" w:fill="FFFFFF"/>
        </w:rPr>
        <w:t>1</w:t>
      </w:r>
      <w:r>
        <w:rPr>
          <w:rFonts w:hint="eastAsia" w:ascii="仿宋_GB2312" w:eastAsia="仿宋_GB2312"/>
          <w:color w:val="333333"/>
          <w:sz w:val="32"/>
          <w:szCs w:val="32"/>
          <w:shd w:val="clear" w:color="auto" w:fill="FFFFFF"/>
        </w:rPr>
        <w:t>日</w:t>
      </w:r>
      <w:r>
        <w:rPr>
          <w:rFonts w:hint="eastAsia" w:ascii="仿宋_GB2312" w:hAnsi="微软雅黑" w:eastAsia="仿宋_GB2312"/>
          <w:color w:val="333333"/>
          <w:sz w:val="32"/>
          <w:szCs w:val="32"/>
          <w:shd w:val="clear" w:color="auto" w:fill="FFFFFF"/>
        </w:rPr>
        <w:t>-12</w:t>
      </w:r>
      <w:r>
        <w:rPr>
          <w:rFonts w:hint="eastAsia" w:ascii="仿宋_GB2312" w:eastAsia="仿宋_GB2312"/>
          <w:color w:val="333333"/>
          <w:sz w:val="32"/>
          <w:szCs w:val="32"/>
          <w:shd w:val="clear" w:color="auto" w:fill="FFFFFF"/>
        </w:rPr>
        <w:t>月</w:t>
      </w:r>
      <w:r>
        <w:rPr>
          <w:rFonts w:hint="eastAsia" w:ascii="仿宋_GB2312" w:hAnsi="微软雅黑" w:eastAsia="仿宋_GB2312"/>
          <w:color w:val="333333"/>
          <w:sz w:val="32"/>
          <w:szCs w:val="32"/>
          <w:shd w:val="clear" w:color="auto" w:fill="FFFFFF"/>
        </w:rPr>
        <w:t>31</w:t>
      </w:r>
      <w:r>
        <w:rPr>
          <w:rFonts w:hint="eastAsia" w:ascii="仿宋_GB2312" w:eastAsia="仿宋_GB2312"/>
          <w:color w:val="333333"/>
          <w:sz w:val="32"/>
          <w:szCs w:val="32"/>
          <w:shd w:val="clear" w:color="auto" w:fill="FFFFFF"/>
        </w:rPr>
        <w:t>日）。</w:t>
      </w:r>
    </w:p>
    <w:p>
      <w:pPr>
        <w:widowControl/>
        <w:shd w:val="clear" w:color="auto" w:fill="FFFFFF"/>
        <w:spacing w:line="480" w:lineRule="auto"/>
        <w:ind w:firstLine="640" w:firstLineChars="200"/>
        <w:jc w:val="left"/>
        <w:rPr>
          <w:rFonts w:ascii="黑体" w:hAnsi="宋体" w:eastAsia="黑体" w:cs="宋体"/>
          <w:kern w:val="0"/>
          <w:sz w:val="32"/>
          <w:szCs w:val="32"/>
        </w:rPr>
      </w:pPr>
      <w:r>
        <w:rPr>
          <w:rFonts w:hint="eastAsia" w:ascii="黑体" w:hAnsi="宋体" w:eastAsia="黑体" w:cs="宋体"/>
          <w:bCs/>
          <w:color w:val="333333"/>
          <w:kern w:val="0"/>
          <w:sz w:val="32"/>
          <w:szCs w:val="32"/>
        </w:rPr>
        <w:t>一、总体情况</w:t>
      </w:r>
    </w:p>
    <w:p>
      <w:pPr>
        <w:widowControl/>
        <w:shd w:val="clear" w:color="auto" w:fill="FFFFFF"/>
        <w:ind w:firstLine="642" w:firstLineChars="200"/>
        <w:jc w:val="left"/>
        <w:rPr>
          <w:rFonts w:hint="eastAsia" w:ascii="仿宋_GB2312" w:hAnsi="仿宋_GB2312" w:eastAsia="仿宋_GB2312" w:cs="仿宋_GB2312"/>
          <w:b w:val="0"/>
          <w:bCs/>
          <w:color w:val="333333"/>
          <w:kern w:val="0"/>
          <w:sz w:val="32"/>
          <w:szCs w:val="32"/>
        </w:rPr>
      </w:pPr>
      <w:r>
        <w:rPr>
          <w:rFonts w:hint="eastAsia" w:ascii="楷体" w:hAnsi="楷体" w:eastAsia="楷体" w:cs="楷体"/>
          <w:b/>
          <w:color w:val="333333"/>
          <w:kern w:val="0"/>
          <w:sz w:val="32"/>
          <w:szCs w:val="32"/>
        </w:rPr>
        <w:t>1、加强领导，健全机构。</w:t>
      </w:r>
      <w:r>
        <w:rPr>
          <w:rFonts w:hint="eastAsia" w:ascii="仿宋_GB2312" w:hAnsi="仿宋_GB2312" w:eastAsia="仿宋_GB2312" w:cs="仿宋_GB2312"/>
          <w:b w:val="0"/>
          <w:bCs/>
          <w:color w:val="333333"/>
          <w:kern w:val="0"/>
          <w:sz w:val="32"/>
          <w:szCs w:val="32"/>
        </w:rPr>
        <w:t>我局高度重视政府信息公开工作，为加强对政府信息公开工作的组织领导，</w:t>
      </w:r>
      <w:r>
        <w:rPr>
          <w:rFonts w:hint="eastAsia" w:ascii="仿宋_GB2312" w:hAnsi="宋体" w:eastAsia="仿宋_GB2312" w:cs="宋体"/>
          <w:color w:val="333333"/>
          <w:kern w:val="0"/>
          <w:sz w:val="32"/>
          <w:szCs w:val="32"/>
        </w:rPr>
        <w:t>充实和调整市经合局政务公开工作领导小组，主要领导任组长，副局长任副组长，成员由其他班子成员组成</w:t>
      </w:r>
      <w:r>
        <w:rPr>
          <w:rFonts w:hint="default" w:ascii="仿宋_GB2312" w:hAnsi="宋体" w:eastAsia="仿宋_GB2312" w:cs="宋体"/>
          <w:color w:val="333333"/>
          <w:kern w:val="0"/>
          <w:sz w:val="32"/>
          <w:szCs w:val="32"/>
        </w:rPr>
        <w:t>，</w:t>
      </w:r>
      <w:r>
        <w:rPr>
          <w:rFonts w:hint="eastAsia" w:ascii="仿宋_GB2312" w:hAnsi="仿宋_GB2312" w:eastAsia="仿宋_GB2312" w:cs="仿宋_GB2312"/>
          <w:b w:val="0"/>
          <w:bCs/>
          <w:color w:val="333333"/>
          <w:kern w:val="0"/>
          <w:sz w:val="32"/>
          <w:szCs w:val="32"/>
        </w:rPr>
        <w:t>并指定1名办公室工作人员负责政府信息公开工作和管理政府信息公开网上录</w:t>
      </w:r>
    </w:p>
    <w:p>
      <w:pPr>
        <w:widowControl/>
        <w:shd w:val="clear" w:color="auto" w:fill="FFFFFF"/>
        <w:jc w:val="left"/>
        <w:rPr>
          <w:rFonts w:ascii="仿宋_GB2312" w:hAnsi="宋体" w:eastAsia="仿宋_GB2312" w:cs="宋体"/>
          <w:color w:val="333333"/>
          <w:kern w:val="0"/>
          <w:sz w:val="32"/>
          <w:szCs w:val="32"/>
        </w:rPr>
      </w:pPr>
      <w:r>
        <w:rPr>
          <w:rFonts w:hint="eastAsia" w:ascii="仿宋_GB2312" w:hAnsi="仿宋_GB2312" w:eastAsia="仿宋_GB2312" w:cs="仿宋_GB2312"/>
          <w:b w:val="0"/>
          <w:bCs/>
          <w:color w:val="333333"/>
          <w:kern w:val="0"/>
          <w:sz w:val="32"/>
          <w:szCs w:val="32"/>
        </w:rPr>
        <w:t>入工作，负责收集、梳理信息及上传发布信息，做到人员到位、责任到位、措施到位，从而确保了此项工作的顺利开展。</w:t>
      </w:r>
    </w:p>
    <w:p>
      <w:pPr>
        <w:keepNext w:val="0"/>
        <w:keepLines w:val="0"/>
        <w:widowControl/>
        <w:suppressLineNumbers w:val="0"/>
        <w:ind w:firstLine="642" w:firstLineChars="200"/>
        <w:jc w:val="left"/>
        <w:rPr>
          <w:rFonts w:hint="default" w:ascii="仿宋" w:hAnsi="仿宋" w:eastAsia="仿宋" w:cs="仿宋"/>
          <w:i w:val="0"/>
          <w:caps w:val="0"/>
          <w:color w:val="000000"/>
          <w:spacing w:val="0"/>
          <w:kern w:val="0"/>
          <w:sz w:val="32"/>
          <w:szCs w:val="32"/>
          <w:shd w:val="clear" w:color="auto" w:fill="FFFFFF"/>
          <w:lang w:eastAsia="zh-CN" w:bidi="ar"/>
        </w:rPr>
      </w:pPr>
      <w:r>
        <w:rPr>
          <w:rFonts w:hint="eastAsia" w:ascii="楷体_GB2312" w:hAnsi="宋体" w:eastAsia="楷体_GB2312" w:cs="宋体"/>
          <w:b/>
          <w:color w:val="333333"/>
          <w:kern w:val="0"/>
          <w:sz w:val="32"/>
          <w:szCs w:val="32"/>
        </w:rPr>
        <w:t>2、</w:t>
      </w:r>
      <w:r>
        <w:rPr>
          <w:rFonts w:hint="default" w:ascii="楷体_GB2312" w:hAnsi="宋体" w:eastAsia="楷体_GB2312" w:cs="宋体"/>
          <w:b/>
          <w:color w:val="333333"/>
          <w:kern w:val="0"/>
          <w:sz w:val="32"/>
          <w:szCs w:val="32"/>
        </w:rPr>
        <w:t>常态管理，纳入日程。</w:t>
      </w:r>
      <w:r>
        <w:rPr>
          <w:rFonts w:ascii="仿宋" w:hAnsi="仿宋" w:eastAsia="仿宋" w:cs="仿宋"/>
          <w:i w:val="0"/>
          <w:caps w:val="0"/>
          <w:color w:val="000000"/>
          <w:spacing w:val="0"/>
          <w:kern w:val="0"/>
          <w:sz w:val="32"/>
          <w:szCs w:val="32"/>
          <w:shd w:val="clear" w:color="auto" w:fill="FFFFFF"/>
          <w:lang w:val="en-US" w:eastAsia="zh-CN" w:bidi="ar"/>
        </w:rPr>
        <w:t>根据</w:t>
      </w:r>
      <w:r>
        <w:rPr>
          <w:rFonts w:hint="eastAsia" w:ascii="仿宋" w:hAnsi="仿宋" w:eastAsia="仿宋" w:cs="仿宋"/>
          <w:i w:val="0"/>
          <w:caps w:val="0"/>
          <w:color w:val="000000"/>
          <w:spacing w:val="0"/>
          <w:kern w:val="0"/>
          <w:sz w:val="32"/>
          <w:szCs w:val="32"/>
          <w:shd w:val="clear" w:color="auto" w:fill="FFFFFF"/>
          <w:lang w:val="en-US" w:eastAsia="zh-CN" w:bidi="ar"/>
        </w:rPr>
        <w:t>我局实际，制定印发了《市经合局</w:t>
      </w:r>
      <w:r>
        <w:rPr>
          <w:rFonts w:hint="default" w:ascii="仿宋" w:hAnsi="仿宋" w:eastAsia="仿宋" w:cs="仿宋"/>
          <w:i w:val="0"/>
          <w:caps w:val="0"/>
          <w:color w:val="000000"/>
          <w:spacing w:val="0"/>
          <w:kern w:val="0"/>
          <w:sz w:val="32"/>
          <w:szCs w:val="32"/>
          <w:shd w:val="clear" w:color="auto" w:fill="FFFFFF"/>
          <w:lang w:eastAsia="zh-CN" w:bidi="ar"/>
        </w:rPr>
        <w:t>2021</w:t>
      </w:r>
      <w:r>
        <w:rPr>
          <w:rFonts w:hint="eastAsia" w:ascii="仿宋" w:hAnsi="仿宋" w:eastAsia="仿宋" w:cs="仿宋"/>
          <w:i w:val="0"/>
          <w:caps w:val="0"/>
          <w:color w:val="000000"/>
          <w:spacing w:val="0"/>
          <w:kern w:val="0"/>
          <w:sz w:val="32"/>
          <w:szCs w:val="32"/>
          <w:shd w:val="clear" w:color="auto" w:fill="FFFFFF"/>
          <w:lang w:val="en-US" w:eastAsia="zh-CN" w:bidi="ar"/>
        </w:rPr>
        <w:t>年政务公开工作要点》，落实了责任领导、责任科室和具体责任人</w:t>
      </w:r>
      <w:r>
        <w:rPr>
          <w:rFonts w:hint="default" w:ascii="仿宋" w:hAnsi="仿宋" w:eastAsia="仿宋" w:cs="仿宋"/>
          <w:i w:val="0"/>
          <w:caps w:val="0"/>
          <w:color w:val="000000"/>
          <w:spacing w:val="0"/>
          <w:kern w:val="0"/>
          <w:sz w:val="32"/>
          <w:szCs w:val="32"/>
          <w:shd w:val="clear" w:color="auto" w:fill="FFFFFF"/>
          <w:lang w:eastAsia="zh-CN" w:bidi="ar"/>
        </w:rPr>
        <w:t>。积极主动进行信息公开，</w:t>
      </w:r>
      <w:r>
        <w:rPr>
          <w:rFonts w:hint="eastAsia" w:ascii="仿宋" w:hAnsi="仿宋" w:eastAsia="仿宋" w:cs="仿宋"/>
          <w:i w:val="0"/>
          <w:caps w:val="0"/>
          <w:color w:val="000000"/>
          <w:spacing w:val="0"/>
          <w:kern w:val="0"/>
          <w:sz w:val="32"/>
          <w:szCs w:val="32"/>
          <w:shd w:val="clear" w:color="auto" w:fill="FFFFFF"/>
          <w:lang w:val="en-US" w:eastAsia="zh-CN" w:bidi="ar"/>
        </w:rPr>
        <w:t>及时、准确、完整公布数据，通过</w:t>
      </w:r>
      <w:r>
        <w:rPr>
          <w:rFonts w:hint="default" w:ascii="仿宋" w:hAnsi="仿宋" w:eastAsia="仿宋" w:cs="仿宋"/>
          <w:i w:val="0"/>
          <w:caps w:val="0"/>
          <w:color w:val="000000"/>
          <w:spacing w:val="0"/>
          <w:kern w:val="0"/>
          <w:sz w:val="32"/>
          <w:szCs w:val="32"/>
          <w:shd w:val="clear" w:color="auto" w:fill="FFFFFF"/>
          <w:lang w:eastAsia="zh-CN" w:bidi="ar"/>
        </w:rPr>
        <w:t>牡丹江</w:t>
      </w:r>
      <w:r>
        <w:rPr>
          <w:rFonts w:hint="eastAsia" w:ascii="仿宋" w:hAnsi="仿宋" w:eastAsia="仿宋" w:cs="仿宋"/>
          <w:i w:val="0"/>
          <w:caps w:val="0"/>
          <w:color w:val="000000"/>
          <w:spacing w:val="0"/>
          <w:kern w:val="0"/>
          <w:sz w:val="32"/>
          <w:szCs w:val="32"/>
          <w:shd w:val="clear" w:color="auto" w:fill="FFFFFF"/>
          <w:lang w:val="en-US" w:eastAsia="zh-CN" w:bidi="ar"/>
        </w:rPr>
        <w:t>市人民政府门户网站公开了202</w:t>
      </w:r>
      <w:r>
        <w:rPr>
          <w:rFonts w:hint="default" w:ascii="仿宋" w:hAnsi="仿宋" w:eastAsia="仿宋" w:cs="仿宋"/>
          <w:i w:val="0"/>
          <w:caps w:val="0"/>
          <w:color w:val="000000"/>
          <w:spacing w:val="0"/>
          <w:kern w:val="0"/>
          <w:sz w:val="32"/>
          <w:szCs w:val="32"/>
          <w:shd w:val="clear" w:color="auto" w:fill="FFFFFF"/>
          <w:lang w:eastAsia="zh-CN" w:bidi="ar"/>
        </w:rPr>
        <w:t>0</w:t>
      </w:r>
      <w:r>
        <w:rPr>
          <w:rFonts w:hint="eastAsia" w:ascii="仿宋" w:hAnsi="仿宋" w:eastAsia="仿宋" w:cs="仿宋"/>
          <w:i w:val="0"/>
          <w:caps w:val="0"/>
          <w:color w:val="000000"/>
          <w:spacing w:val="0"/>
          <w:kern w:val="0"/>
          <w:sz w:val="32"/>
          <w:szCs w:val="32"/>
          <w:shd w:val="clear" w:color="auto" w:fill="FFFFFF"/>
          <w:lang w:val="en-US" w:eastAsia="zh-CN" w:bidi="ar"/>
        </w:rPr>
        <w:t>年</w:t>
      </w:r>
      <w:r>
        <w:rPr>
          <w:rFonts w:hint="default" w:ascii="仿宋" w:hAnsi="仿宋" w:eastAsia="仿宋" w:cs="仿宋"/>
          <w:i w:val="0"/>
          <w:caps w:val="0"/>
          <w:color w:val="000000"/>
          <w:spacing w:val="0"/>
          <w:kern w:val="0"/>
          <w:sz w:val="32"/>
          <w:szCs w:val="32"/>
          <w:shd w:val="clear" w:color="auto" w:fill="FFFFFF"/>
          <w:lang w:eastAsia="zh-CN" w:bidi="ar"/>
        </w:rPr>
        <w:t>政府信息公开工作年度报告、2021年财政预算情况说明、2021年财政决算情况说明，发布疫情防控工作信息7条，重大项目建设实施信息1条，投资动态信息37条，招商项目信息1条。</w:t>
      </w:r>
      <w:r>
        <w:rPr>
          <w:rFonts w:ascii="仿宋" w:hAnsi="仿宋" w:eastAsia="仿宋" w:cs="仿宋"/>
          <w:i w:val="0"/>
          <w:caps w:val="0"/>
          <w:color w:val="000000"/>
          <w:spacing w:val="0"/>
          <w:kern w:val="0"/>
          <w:sz w:val="32"/>
          <w:szCs w:val="32"/>
          <w:shd w:val="clear" w:color="auto" w:fill="FFFFFF"/>
          <w:lang w:val="en-US" w:eastAsia="zh-CN" w:bidi="ar"/>
        </w:rPr>
        <w:t>202</w:t>
      </w:r>
      <w:r>
        <w:rPr>
          <w:rFonts w:hint="default" w:ascii="仿宋" w:hAnsi="仿宋" w:eastAsia="仿宋" w:cs="仿宋"/>
          <w:i w:val="0"/>
          <w:caps w:val="0"/>
          <w:color w:val="000000"/>
          <w:spacing w:val="0"/>
          <w:kern w:val="0"/>
          <w:sz w:val="32"/>
          <w:szCs w:val="32"/>
          <w:shd w:val="clear" w:color="auto" w:fill="FFFFFF"/>
          <w:lang w:eastAsia="zh-CN" w:bidi="ar"/>
        </w:rPr>
        <w:t>1</w:t>
      </w:r>
      <w:r>
        <w:rPr>
          <w:rFonts w:ascii="仿宋" w:hAnsi="仿宋" w:eastAsia="仿宋" w:cs="仿宋"/>
          <w:i w:val="0"/>
          <w:caps w:val="0"/>
          <w:color w:val="000000"/>
          <w:spacing w:val="0"/>
          <w:kern w:val="0"/>
          <w:sz w:val="32"/>
          <w:szCs w:val="32"/>
          <w:shd w:val="clear" w:color="auto" w:fill="FFFFFF"/>
          <w:lang w:val="en-US" w:eastAsia="zh-CN" w:bidi="ar"/>
        </w:rPr>
        <w:t>年度我局无依申请公开文件。下一步，我局将继续关注政府信息公开申请情况，做好依申请公开工作。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07"/>
        <w:jc w:val="left"/>
        <w:rPr>
          <w:rFonts w:hint="eastAsia" w:ascii="仿宋_GB2312" w:hAnsi="宋体" w:eastAsia="仿宋_GB2312" w:cs="宋体"/>
          <w:color w:val="333333"/>
          <w:kern w:val="0"/>
          <w:sz w:val="32"/>
          <w:szCs w:val="32"/>
        </w:rPr>
      </w:pPr>
      <w:r>
        <w:rPr>
          <w:rFonts w:hint="default" w:ascii="楷体_GB2312" w:hAnsi="宋体" w:eastAsia="楷体_GB2312" w:cs="宋体"/>
          <w:b/>
          <w:color w:val="333333"/>
          <w:kern w:val="0"/>
          <w:sz w:val="32"/>
          <w:szCs w:val="32"/>
        </w:rPr>
        <w:t>3</w:t>
      </w:r>
      <w:r>
        <w:rPr>
          <w:rFonts w:hint="eastAsia" w:ascii="楷体_GB2312" w:hAnsi="宋体" w:eastAsia="楷体_GB2312" w:cs="宋体"/>
          <w:b/>
          <w:color w:val="333333"/>
          <w:kern w:val="0"/>
          <w:sz w:val="32"/>
          <w:szCs w:val="32"/>
        </w:rPr>
        <w:t>、强化监督，</w:t>
      </w:r>
      <w:r>
        <w:rPr>
          <w:rFonts w:hint="default" w:ascii="楷体_GB2312" w:hAnsi="宋体" w:eastAsia="楷体_GB2312" w:cs="宋体"/>
          <w:b/>
          <w:color w:val="333333"/>
          <w:kern w:val="0"/>
          <w:sz w:val="32"/>
          <w:szCs w:val="32"/>
        </w:rPr>
        <w:t>务求实效</w:t>
      </w:r>
      <w:r>
        <w:rPr>
          <w:rFonts w:hint="eastAsia" w:ascii="楷体_GB2312" w:hAnsi="宋体" w:eastAsia="楷体_GB2312" w:cs="宋体"/>
          <w:b/>
          <w:color w:val="333333"/>
          <w:kern w:val="0"/>
          <w:sz w:val="32"/>
          <w:szCs w:val="32"/>
        </w:rPr>
        <w:t>。</w:t>
      </w:r>
      <w:r>
        <w:rPr>
          <w:rFonts w:hint="eastAsia" w:ascii="仿宋_GB2312" w:hAnsi="宋体" w:eastAsia="仿宋_GB2312" w:cs="宋体"/>
          <w:color w:val="333333"/>
          <w:kern w:val="0"/>
          <w:sz w:val="32"/>
          <w:szCs w:val="32"/>
        </w:rPr>
        <w:t>将政务公开工作与党风廉政建设、行风建设综合进行检查、考评，考评结果纳入岗位目标责任制</w:t>
      </w:r>
      <w:r>
        <w:rPr>
          <w:rFonts w:hint="default" w:ascii="仿宋_GB2312" w:hAnsi="宋体" w:eastAsia="仿宋_GB2312" w:cs="宋体"/>
          <w:color w:val="333333"/>
          <w:kern w:val="0"/>
          <w:sz w:val="32"/>
          <w:szCs w:val="32"/>
        </w:rPr>
        <w:t>。严格按照“谁公开、谁审批、谁负责”的原则规范审查程序，落实审查责任，确保政务公开内容无涉及国家秘密和内部敏感事项。</w:t>
      </w:r>
    </w:p>
    <w:p>
      <w:pPr>
        <w:widowControl/>
        <w:shd w:val="clear" w:color="auto" w:fill="FFFFFF"/>
        <w:ind w:firstLine="642" w:firstLineChars="200"/>
        <w:jc w:val="left"/>
        <w:rPr>
          <w:rFonts w:ascii="仿宋_GB2312" w:hAnsi="宋体" w:eastAsia="仿宋_GB2312" w:cs="宋体"/>
          <w:color w:val="333333"/>
          <w:kern w:val="0"/>
          <w:sz w:val="32"/>
          <w:szCs w:val="32"/>
        </w:rPr>
      </w:pPr>
      <w:r>
        <w:rPr>
          <w:rFonts w:hint="default" w:ascii="楷体_GB2312" w:hAnsi="宋体" w:eastAsia="楷体_GB2312" w:cs="宋体"/>
          <w:b/>
          <w:color w:val="333333"/>
          <w:kern w:val="0"/>
          <w:sz w:val="32"/>
          <w:szCs w:val="32"/>
        </w:rPr>
        <w:t>4</w:t>
      </w:r>
      <w:r>
        <w:rPr>
          <w:rFonts w:hint="eastAsia" w:ascii="楷体_GB2312" w:hAnsi="宋体" w:eastAsia="楷体_GB2312" w:cs="宋体"/>
          <w:b/>
          <w:color w:val="333333"/>
          <w:kern w:val="0"/>
          <w:sz w:val="32"/>
          <w:szCs w:val="32"/>
        </w:rPr>
        <w:t>、加强宣传，营造氛围。</w:t>
      </w:r>
      <w:r>
        <w:rPr>
          <w:rFonts w:hint="eastAsia" w:ascii="仿宋_GB2312" w:hAnsi="宋体" w:eastAsia="仿宋_GB2312" w:cs="宋体"/>
          <w:color w:val="333333"/>
          <w:kern w:val="0"/>
          <w:sz w:val="32"/>
          <w:szCs w:val="32"/>
        </w:rPr>
        <w:t xml:space="preserve">采用多种途径、多种方式广泛宣传，借助报纸、广播、电视等新闻媒体，加大宣传力度，使广大群众知晓政务公开的内容，获取政务信息的方式，了解自己的权利和义务，为深化政务公开工作奠定良好的基础。 </w:t>
      </w:r>
    </w:p>
    <w:p>
      <w:pPr>
        <w:widowControl/>
        <w:shd w:val="clear" w:color="auto" w:fill="FFFFFF"/>
        <w:spacing w:line="480" w:lineRule="auto"/>
        <w:ind w:firstLine="640" w:firstLineChars="200"/>
        <w:jc w:val="both"/>
        <w:rPr>
          <w:rFonts w:hint="eastAsia" w:ascii="黑体" w:hAnsi="宋体" w:eastAsia="黑体" w:cs="宋体"/>
          <w:bCs/>
          <w:color w:val="333333"/>
          <w:kern w:val="0"/>
          <w:sz w:val="32"/>
          <w:szCs w:val="32"/>
        </w:rPr>
      </w:pPr>
      <w:r>
        <w:rPr>
          <w:rFonts w:hint="eastAsia" w:ascii="黑体" w:hAnsi="宋体" w:eastAsia="黑体" w:cs="宋体"/>
          <w:bCs/>
          <w:color w:val="333333"/>
          <w:kern w:val="0"/>
          <w:sz w:val="32"/>
          <w:szCs w:val="32"/>
        </w:rPr>
        <w:t>二、主动公开政府信息情况</w:t>
      </w:r>
    </w:p>
    <w:p>
      <w:pPr>
        <w:keepNext w:val="0"/>
        <w:keepLines w:val="0"/>
        <w:widowControl/>
        <w:suppressLineNumbers w:val="0"/>
        <w:jc w:val="left"/>
      </w:pPr>
    </w:p>
    <w:tbl>
      <w:tblPr>
        <w:tblStyle w:val="3"/>
        <w:tblW w:w="9735"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430"/>
        <w:gridCol w:w="2430"/>
        <w:gridCol w:w="2430"/>
        <w:gridCol w:w="2445"/>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第二十条第（一）项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信息内容</w:t>
            </w:r>
          </w:p>
        </w:tc>
        <w:tc>
          <w:tcPr>
            <w:tcW w:w="2430"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本年</w:t>
            </w:r>
            <w:r>
              <w:rPr>
                <w:rFonts w:hint="eastAsia" w:ascii="仿宋_GB2312" w:hAnsi="仿宋_GB2312" w:eastAsia="仿宋_GB2312" w:cs="仿宋_GB2312"/>
                <w:i w:val="0"/>
                <w:caps w:val="0"/>
                <w:color w:val="333333"/>
                <w:spacing w:val="0"/>
                <w:sz w:val="32"/>
                <w:szCs w:val="32"/>
              </w:rPr>
              <w:t>制发件数</w:t>
            </w:r>
          </w:p>
        </w:tc>
        <w:tc>
          <w:tcPr>
            <w:tcW w:w="2430"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本年废止件数</w:t>
            </w:r>
          </w:p>
        </w:tc>
        <w:tc>
          <w:tcPr>
            <w:tcW w:w="2430"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现行有效件</w:t>
            </w:r>
            <w:r>
              <w:rPr>
                <w:rFonts w:hint="eastAsia" w:ascii="仿宋_GB2312" w:hAnsi="仿宋_GB2312" w:eastAsia="仿宋_GB2312" w:cs="仿宋_GB2312"/>
                <w:i w:val="0"/>
                <w:caps w:val="0"/>
                <w:color w:val="333333"/>
                <w:spacing w:val="0"/>
                <w:sz w:val="32"/>
                <w:szCs w:val="32"/>
              </w:rPr>
              <w:t>数</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规章</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行政规范性文件</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2430"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default" w:ascii="仿宋_GB2312" w:hAnsi="仿宋_GB2312" w:eastAsia="仿宋_GB2312" w:cs="仿宋_GB2312"/>
                <w:i w:val="0"/>
                <w:caps w:val="0"/>
                <w:color w:val="333333"/>
                <w:spacing w:val="0"/>
                <w:sz w:val="32"/>
                <w:szCs w:val="32"/>
              </w:rPr>
            </w:pPr>
            <w:r>
              <w:rPr>
                <w:rFonts w:hint="default" w:ascii="仿宋_GB2312" w:hAnsi="仿宋_GB2312" w:eastAsia="仿宋_GB2312" w:cs="仿宋_GB2312"/>
                <w:i w:val="0"/>
                <w:caps w:val="0"/>
                <w:color w:val="333333"/>
                <w:spacing w:val="0"/>
                <w:sz w:val="32"/>
                <w:szCs w:val="32"/>
              </w:rPr>
              <w:t>1</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第二十条第（五）项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信息内容</w:t>
            </w:r>
          </w:p>
        </w:tc>
        <w:tc>
          <w:tcPr>
            <w:tcW w:w="7305" w:type="dxa"/>
            <w:gridSpan w:val="3"/>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行政许可</w:t>
            </w:r>
          </w:p>
        </w:tc>
        <w:tc>
          <w:tcPr>
            <w:tcW w:w="7305" w:type="dxa"/>
            <w:gridSpan w:val="3"/>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第二十条第（六）项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信息内容</w:t>
            </w:r>
          </w:p>
        </w:tc>
        <w:tc>
          <w:tcPr>
            <w:tcW w:w="7305" w:type="dxa"/>
            <w:gridSpan w:val="3"/>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行政处罚</w:t>
            </w:r>
          </w:p>
        </w:tc>
        <w:tc>
          <w:tcPr>
            <w:tcW w:w="7305" w:type="dxa"/>
            <w:gridSpan w:val="3"/>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行政强制</w:t>
            </w:r>
          </w:p>
        </w:tc>
        <w:tc>
          <w:tcPr>
            <w:tcW w:w="7305" w:type="dxa"/>
            <w:gridSpan w:val="3"/>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第二十条第（八）项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信息内容</w:t>
            </w:r>
          </w:p>
        </w:tc>
        <w:tc>
          <w:tcPr>
            <w:tcW w:w="7305" w:type="dxa"/>
            <w:gridSpan w:val="3"/>
            <w:tcBorders>
              <w:top w:val="nil"/>
              <w:left w:val="nil"/>
              <w:bottom w:val="single" w:color="auto" w:sz="6" w:space="0"/>
              <w:right w:val="single" w:color="000000"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本年收费金额（单位：万元）</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行政事业性收费</w:t>
            </w:r>
          </w:p>
        </w:tc>
        <w:tc>
          <w:tcPr>
            <w:tcW w:w="7305" w:type="dxa"/>
            <w:gridSpan w:val="3"/>
            <w:tcBorders>
              <w:top w:val="nil"/>
              <w:left w:val="nil"/>
              <w:bottom w:val="single" w:color="auto" w:sz="6" w:space="0"/>
              <w:right w:val="single" w:color="000000"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default" w:ascii="微软雅黑" w:hAnsi="微软雅黑" w:eastAsia="微软雅黑" w:cs="微软雅黑"/>
          <w:i w:val="0"/>
          <w:caps w:val="0"/>
          <w:color w:val="333333"/>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80" w:afterAutospacing="0"/>
        <w:ind w:left="0" w:right="0" w:firstLine="420"/>
        <w:jc w:val="left"/>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color="auto" w:fill="FFFFFF"/>
        </w:rPr>
        <w:t>三、收到和处理政府信息公开申请情况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center"/>
        <w:rPr>
          <w:rFonts w:hint="eastAsia" w:ascii="宋体" w:hAnsi="宋体" w:eastAsia="宋体" w:cs="宋体"/>
          <w:i w:val="0"/>
          <w:caps w:val="0"/>
          <w:color w:val="333333"/>
          <w:spacing w:val="0"/>
          <w:sz w:val="18"/>
          <w:szCs w:val="18"/>
        </w:rPr>
      </w:pPr>
    </w:p>
    <w:tbl>
      <w:tblPr>
        <w:tblStyle w:val="3"/>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60"/>
        <w:gridCol w:w="1080"/>
        <w:gridCol w:w="3123"/>
        <w:gridCol w:w="683"/>
        <w:gridCol w:w="684"/>
        <w:gridCol w:w="684"/>
        <w:gridCol w:w="684"/>
        <w:gridCol w:w="684"/>
        <w:gridCol w:w="684"/>
        <w:gridCol w:w="684"/>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06" w:type="dxa"/>
            <w:gridSpan w:val="3"/>
            <w:vMerge w:val="restart"/>
            <w:tcBorders>
              <w:top w:val="single" w:color="auto" w:sz="6" w:space="0"/>
              <w:left w:val="single" w:color="auto" w:sz="6" w:space="0"/>
              <w:bottom w:val="outset"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（本列数据的勾稽关系为：第一项加第二项之和，等于第三项加第四项之和）</w:t>
            </w:r>
          </w:p>
        </w:tc>
        <w:tc>
          <w:tcPr>
            <w:tcW w:w="4844" w:type="dxa"/>
            <w:gridSpan w:val="7"/>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申请人情况</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692" w:type="dxa"/>
            <w:vMerge w:val="restart"/>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自然人</w:t>
            </w:r>
          </w:p>
        </w:tc>
        <w:tc>
          <w:tcPr>
            <w:tcW w:w="3460" w:type="dxa"/>
            <w:gridSpan w:val="5"/>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法人或其他组织</w:t>
            </w:r>
          </w:p>
        </w:tc>
        <w:tc>
          <w:tcPr>
            <w:tcW w:w="692" w:type="dxa"/>
            <w:vMerge w:val="restart"/>
            <w:tcBorders>
              <w:top w:val="single" w:color="auto" w:sz="6" w:space="0"/>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692" w:type="dxa"/>
            <w:vMerge w:val="continue"/>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商业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企业</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科研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机构</w:t>
            </w:r>
          </w:p>
        </w:tc>
        <w:tc>
          <w:tcPr>
            <w:tcW w:w="692"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社会公益组织</w:t>
            </w:r>
          </w:p>
        </w:tc>
        <w:tc>
          <w:tcPr>
            <w:tcW w:w="692"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法律服务机构</w:t>
            </w:r>
          </w:p>
        </w:tc>
        <w:tc>
          <w:tcPr>
            <w:tcW w:w="692"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其他</w:t>
            </w:r>
          </w:p>
        </w:tc>
        <w:tc>
          <w:tcPr>
            <w:tcW w:w="692" w:type="dxa"/>
            <w:vMerge w:val="continue"/>
            <w:tcBorders>
              <w:top w:val="single" w:color="auto" w:sz="6" w:space="0"/>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一、本年新收政府信息公开申请数量</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080" w:lineRule="auto"/>
              <w:ind w:left="0" w:right="0" w:firstLine="0"/>
              <w:jc w:val="center"/>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二、上年结转政府信息公开申请数量</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080" w:lineRule="auto"/>
              <w:ind w:left="0" w:right="0" w:firstLine="0"/>
              <w:jc w:val="center"/>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restart"/>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三、本年度办理结果</w:t>
            </w:r>
          </w:p>
        </w:tc>
        <w:tc>
          <w:tcPr>
            <w:tcW w:w="4146" w:type="dxa"/>
            <w:gridSpan w:val="2"/>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（一）予以公开</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4146" w:type="dxa"/>
            <w:gridSpan w:val="2"/>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（二）部分公开（区分处理的，只计这一情形，不计其他情形）</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0" w:lineRule="auto"/>
              <w:ind w:left="0" w:right="0" w:firstLine="0"/>
              <w:jc w:val="center"/>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restart"/>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（三）不予公开</w:t>
            </w: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1.属于国家秘密</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single" w:color="auto" w:sz="6" w:space="0"/>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2.其他法律行政法规禁止公开</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3.危及“三安全一稳定”</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4.保护第三方合法权益</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5.属于三类内部事务信息</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6.属于四类过程性信息</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7.属于行政执法案卷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8.属于行政查询事项</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restart"/>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（四）无法提供</w:t>
            </w: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1.本机关不掌握相关政府信息</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2.没有现成信息需要另行制作</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3.补正后申请内容仍不明确</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restart"/>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（五）不予处理</w:t>
            </w: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1.信访举报投诉类申请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2.重复申请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3.要求提供公开出版物</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4.无正当理由大量反复申请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96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780" w:hRule="atLeast"/>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5.要求行政机关确认或重新出具已获取信息</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outset"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44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restart"/>
            <w:tcBorders>
              <w:top w:val="outset" w:color="auto" w:sz="6" w:space="0"/>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（六）其他处理</w:t>
            </w: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1.申请人无正当理由逾期不补正、行政机关不再处理其政府信息公开申请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192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024" w:hRule="atLeast"/>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outset" w:color="auto" w:sz="6" w:space="0"/>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2.申请人逾期未按收费通知要求缴纳费用、行政机关不再处理其政府信息公开申请</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0" w:lineRule="auto"/>
              <w:ind w:left="0" w:leftChars="0" w:right="0" w:rightChars="0" w:firstLine="0" w:firstLineChars="0"/>
              <w:jc w:val="center"/>
              <w:textAlignment w:val="auto"/>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941" w:type="dxa"/>
            <w:vMerge w:val="continue"/>
            <w:tcBorders>
              <w:top w:val="outset" w:color="auto" w:sz="6" w:space="0"/>
              <w:left w:val="nil"/>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3205"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3.其他</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noWrap w:val="0"/>
            <w:tcMar>
              <w:top w:w="0" w:type="dxa"/>
              <w:left w:w="60" w:type="dxa"/>
              <w:bottom w:w="0" w:type="dxa"/>
              <w:right w:w="60"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4146" w:type="dxa"/>
            <w:gridSpan w:val="2"/>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（七）总计</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FFFFFF"/>
            <w:noWrap w:val="0"/>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四、结转下年度继续办理</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c>
          <w:tcPr>
            <w:tcW w:w="692" w:type="dxa"/>
            <w:tcBorders>
              <w:top w:val="nil"/>
              <w:left w:val="nil"/>
              <w:bottom w:val="single" w:color="auto" w:sz="6" w:space="0"/>
              <w:right w:val="single" w:color="auto" w:sz="6" w:space="0"/>
            </w:tcBorders>
            <w:shd w:val="clear" w:color="auto" w:fill="FFFFFF"/>
            <w:noWrap w:val="0"/>
            <w:tcMar>
              <w:top w:w="0" w:type="dxa"/>
              <w:left w:w="60" w:type="dxa"/>
              <w:bottom w:w="0" w:type="dxa"/>
              <w:right w:w="60" w:type="dxa"/>
            </w:tcMar>
            <w:vAlign w:val="top"/>
          </w:tcPr>
          <w:p>
            <w:pPr>
              <w:keepNext w:val="0"/>
              <w:keepLines w:val="0"/>
              <w:widowControl/>
              <w:suppressLineNumbers w:val="0"/>
              <w:spacing w:before="0" w:beforeAutospacing="0" w:after="0" w:afterAutospacing="0"/>
              <w:ind w:left="0" w:leftChars="0" w:right="0" w:rightChars="0" w:firstLine="0" w:firstLineChars="0"/>
              <w:jc w:val="center"/>
              <w:rPr>
                <w:rFonts w:hint="eastAsia" w:ascii="仿宋_GB2312" w:hAnsi="仿宋_GB2312" w:eastAsia="仿宋_GB2312" w:cs="仿宋_GB2312"/>
                <w:i w:val="0"/>
                <w:caps w:val="0"/>
                <w:color w:val="333333"/>
                <w:spacing w:val="0"/>
                <w:kern w:val="2"/>
                <w:sz w:val="32"/>
                <w:szCs w:val="32"/>
                <w:lang w:val="en-US" w:eastAsia="zh-CN" w:bidi="ar-SA"/>
              </w:rPr>
            </w:pPr>
            <w:r>
              <w:rPr>
                <w:rFonts w:hint="eastAsia" w:ascii="仿宋_GB2312" w:hAnsi="仿宋_GB2312" w:eastAsia="仿宋_GB2312" w:cs="仿宋_GB2312"/>
                <w:i w:val="0"/>
                <w:caps w:val="0"/>
                <w:color w:val="333333"/>
                <w:spacing w:val="0"/>
                <w:sz w:val="32"/>
                <w:szCs w:val="32"/>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80" w:afterAutospacing="0"/>
        <w:ind w:left="0" w:right="0" w:firstLine="0"/>
        <w:jc w:val="left"/>
        <w:rPr>
          <w:rFonts w:hint="eastAsia" w:ascii="宋体" w:hAnsi="宋体" w:eastAsia="宋体" w:cs="宋体"/>
          <w:i w:val="0"/>
          <w:caps w:val="0"/>
          <w:color w:val="333333"/>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color="auto" w:fill="FFFFFF"/>
        </w:rPr>
        <w:t>四、政府信息公开行政复议、行政诉讼情况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18"/>
          <w:szCs w:val="18"/>
        </w:rPr>
      </w:pPr>
    </w:p>
    <w:tbl>
      <w:tblPr>
        <w:tblStyle w:val="3"/>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50"/>
        <w:gridCol w:w="650"/>
        <w:gridCol w:w="650"/>
        <w:gridCol w:w="650"/>
        <w:gridCol w:w="650"/>
        <w:gridCol w:w="650"/>
        <w:gridCol w:w="650"/>
        <w:gridCol w:w="650"/>
        <w:gridCol w:w="650"/>
        <w:gridCol w:w="650"/>
        <w:gridCol w:w="650"/>
        <w:gridCol w:w="650"/>
        <w:gridCol w:w="650"/>
        <w:gridCol w:w="650"/>
        <w:gridCol w:w="650"/>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3210" w:type="dxa"/>
            <w:gridSpan w:val="5"/>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行政复议</w:t>
            </w:r>
          </w:p>
        </w:tc>
        <w:tc>
          <w:tcPr>
            <w:tcW w:w="6435" w:type="dxa"/>
            <w:gridSpan w:val="10"/>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行政诉讼</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结果维持</w:t>
            </w:r>
          </w:p>
        </w:tc>
        <w:tc>
          <w:tcPr>
            <w:tcW w:w="645"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w:t>
            </w:r>
            <w:r>
              <w:rPr>
                <w:rFonts w:hint="eastAsia" w:ascii="仿宋_GB2312" w:hAnsi="仿宋_GB2312" w:eastAsia="仿宋_GB2312" w:cs="仿宋_GB2312"/>
                <w:i w:val="0"/>
                <w:caps w:val="0"/>
                <w:color w:val="333333"/>
                <w:spacing w:val="0"/>
                <w:sz w:val="32"/>
                <w:szCs w:val="32"/>
              </w:rPr>
              <w:br w:type="textWrapping"/>
            </w:r>
            <w:r>
              <w:rPr>
                <w:rFonts w:hint="eastAsia" w:ascii="仿宋_GB2312" w:hAnsi="仿宋_GB2312" w:eastAsia="仿宋_GB2312" w:cs="仿宋_GB2312"/>
                <w:i w:val="0"/>
                <w:caps w:val="0"/>
                <w:color w:val="333333"/>
                <w:spacing w:val="0"/>
                <w:sz w:val="32"/>
                <w:szCs w:val="32"/>
              </w:rPr>
              <w:t>纠正</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其他</w:t>
            </w:r>
            <w:r>
              <w:rPr>
                <w:rFonts w:hint="eastAsia" w:ascii="仿宋_GB2312" w:hAnsi="仿宋_GB2312" w:eastAsia="仿宋_GB2312" w:cs="仿宋_GB2312"/>
                <w:i w:val="0"/>
                <w:caps w:val="0"/>
                <w:color w:val="333333"/>
                <w:spacing w:val="0"/>
                <w:sz w:val="32"/>
                <w:szCs w:val="32"/>
              </w:rPr>
              <w:br w:type="textWrapping"/>
            </w:r>
            <w:r>
              <w:rPr>
                <w:rFonts w:hint="eastAsia" w:ascii="仿宋_GB2312" w:hAnsi="仿宋_GB2312" w:eastAsia="仿宋_GB2312" w:cs="仿宋_GB2312"/>
                <w:i w:val="0"/>
                <w:caps w:val="0"/>
                <w:color w:val="333333"/>
                <w:spacing w:val="0"/>
                <w:sz w:val="32"/>
                <w:szCs w:val="32"/>
              </w:rPr>
              <w:t>结果</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尚未</w:t>
            </w:r>
            <w:r>
              <w:rPr>
                <w:rFonts w:hint="eastAsia" w:ascii="仿宋_GB2312" w:hAnsi="仿宋_GB2312" w:eastAsia="仿宋_GB2312" w:cs="仿宋_GB2312"/>
                <w:i w:val="0"/>
                <w:caps w:val="0"/>
                <w:color w:val="333333"/>
                <w:spacing w:val="0"/>
                <w:sz w:val="32"/>
                <w:szCs w:val="32"/>
              </w:rPr>
              <w:br w:type="textWrapping"/>
            </w:r>
            <w:r>
              <w:rPr>
                <w:rFonts w:hint="eastAsia" w:ascii="仿宋_GB2312" w:hAnsi="仿宋_GB2312" w:eastAsia="仿宋_GB2312" w:cs="仿宋_GB2312"/>
                <w:i w:val="0"/>
                <w:caps w:val="0"/>
                <w:color w:val="333333"/>
                <w:spacing w:val="0"/>
                <w:sz w:val="32"/>
                <w:szCs w:val="32"/>
              </w:rPr>
              <w:t>审结</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总计</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未经复议直接起诉</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复议后起诉</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645"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left"/>
              <w:rPr>
                <w:rFonts w:hint="eastAsia" w:ascii="仿宋_GB2312" w:hAnsi="仿宋_GB2312" w:eastAsia="仿宋_GB2312" w:cs="仿宋_GB2312"/>
                <w:i w:val="0"/>
                <w:caps w:val="0"/>
                <w:color w:val="333333"/>
                <w:spacing w:val="0"/>
                <w:sz w:val="32"/>
                <w:szCs w:val="32"/>
              </w:rPr>
            </w:pP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w:t>
            </w:r>
            <w:r>
              <w:rPr>
                <w:rFonts w:hint="eastAsia" w:ascii="仿宋_GB2312" w:hAnsi="仿宋_GB2312" w:eastAsia="仿宋_GB2312" w:cs="仿宋_GB2312"/>
                <w:i w:val="0"/>
                <w:caps w:val="0"/>
                <w:color w:val="333333"/>
                <w:spacing w:val="0"/>
                <w:sz w:val="32"/>
                <w:szCs w:val="32"/>
              </w:rPr>
              <w:br w:type="textWrapping"/>
            </w:r>
            <w:r>
              <w:rPr>
                <w:rFonts w:hint="eastAsia" w:ascii="仿宋_GB2312" w:hAnsi="仿宋_GB2312" w:eastAsia="仿宋_GB2312" w:cs="仿宋_GB2312"/>
                <w:i w:val="0"/>
                <w:caps w:val="0"/>
                <w:color w:val="333333"/>
                <w:spacing w:val="0"/>
                <w:sz w:val="32"/>
                <w:szCs w:val="32"/>
              </w:rPr>
              <w:t>维持</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w:t>
            </w:r>
            <w:r>
              <w:rPr>
                <w:rFonts w:hint="eastAsia" w:ascii="仿宋_GB2312" w:hAnsi="仿宋_GB2312" w:eastAsia="仿宋_GB2312" w:cs="仿宋_GB2312"/>
                <w:i w:val="0"/>
                <w:caps w:val="0"/>
                <w:color w:val="333333"/>
                <w:spacing w:val="0"/>
                <w:sz w:val="32"/>
                <w:szCs w:val="32"/>
              </w:rPr>
              <w:br w:type="textWrapping"/>
            </w:r>
            <w:r>
              <w:rPr>
                <w:rFonts w:hint="eastAsia" w:ascii="仿宋_GB2312" w:hAnsi="仿宋_GB2312" w:eastAsia="仿宋_GB2312" w:cs="仿宋_GB2312"/>
                <w:i w:val="0"/>
                <w:caps w:val="0"/>
                <w:color w:val="333333"/>
                <w:spacing w:val="0"/>
                <w:sz w:val="32"/>
                <w:szCs w:val="32"/>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其他</w:t>
            </w:r>
            <w:r>
              <w:rPr>
                <w:rFonts w:hint="eastAsia" w:ascii="仿宋_GB2312" w:hAnsi="仿宋_GB2312" w:eastAsia="仿宋_GB2312" w:cs="仿宋_GB2312"/>
                <w:i w:val="0"/>
                <w:caps w:val="0"/>
                <w:color w:val="333333"/>
                <w:spacing w:val="0"/>
                <w:sz w:val="32"/>
                <w:szCs w:val="32"/>
              </w:rPr>
              <w:br w:type="textWrapping"/>
            </w:r>
            <w:r>
              <w:rPr>
                <w:rFonts w:hint="eastAsia" w:ascii="仿宋_GB2312" w:hAnsi="仿宋_GB2312" w:eastAsia="仿宋_GB2312" w:cs="仿宋_GB2312"/>
                <w:i w:val="0"/>
                <w:caps w:val="0"/>
                <w:color w:val="333333"/>
                <w:spacing w:val="0"/>
                <w:sz w:val="32"/>
                <w:szCs w:val="32"/>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尚未</w:t>
            </w:r>
            <w:r>
              <w:rPr>
                <w:rFonts w:hint="eastAsia" w:ascii="仿宋_GB2312" w:hAnsi="仿宋_GB2312" w:eastAsia="仿宋_GB2312" w:cs="仿宋_GB2312"/>
                <w:i w:val="0"/>
                <w:caps w:val="0"/>
                <w:color w:val="333333"/>
                <w:spacing w:val="0"/>
                <w:sz w:val="32"/>
                <w:szCs w:val="32"/>
              </w:rPr>
              <w:br w:type="textWrapping"/>
            </w:r>
            <w:r>
              <w:rPr>
                <w:rFonts w:hint="eastAsia" w:ascii="仿宋_GB2312" w:hAnsi="仿宋_GB2312" w:eastAsia="仿宋_GB2312" w:cs="仿宋_GB2312"/>
                <w:i w:val="0"/>
                <w:caps w:val="0"/>
                <w:color w:val="333333"/>
                <w:spacing w:val="0"/>
                <w:sz w:val="32"/>
                <w:szCs w:val="32"/>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总计</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w:t>
            </w:r>
            <w:r>
              <w:rPr>
                <w:rFonts w:hint="eastAsia" w:ascii="仿宋_GB2312" w:hAnsi="仿宋_GB2312" w:eastAsia="仿宋_GB2312" w:cs="仿宋_GB2312"/>
                <w:i w:val="0"/>
                <w:caps w:val="0"/>
                <w:color w:val="333333"/>
                <w:spacing w:val="0"/>
                <w:sz w:val="32"/>
                <w:szCs w:val="32"/>
              </w:rPr>
              <w:br w:type="textWrapping"/>
            </w:r>
            <w:r>
              <w:rPr>
                <w:rFonts w:hint="eastAsia" w:ascii="仿宋_GB2312" w:hAnsi="仿宋_GB2312" w:eastAsia="仿宋_GB2312" w:cs="仿宋_GB2312"/>
                <w:i w:val="0"/>
                <w:caps w:val="0"/>
                <w:color w:val="333333"/>
                <w:spacing w:val="0"/>
                <w:sz w:val="32"/>
                <w:szCs w:val="32"/>
              </w:rPr>
              <w:t>维持</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结果</w:t>
            </w:r>
            <w:r>
              <w:rPr>
                <w:rFonts w:hint="eastAsia" w:ascii="仿宋_GB2312" w:hAnsi="仿宋_GB2312" w:eastAsia="仿宋_GB2312" w:cs="仿宋_GB2312"/>
                <w:i w:val="0"/>
                <w:caps w:val="0"/>
                <w:color w:val="333333"/>
                <w:spacing w:val="0"/>
                <w:sz w:val="32"/>
                <w:szCs w:val="32"/>
              </w:rPr>
              <w:br w:type="textWrapping"/>
            </w:r>
            <w:r>
              <w:rPr>
                <w:rFonts w:hint="eastAsia" w:ascii="仿宋_GB2312" w:hAnsi="仿宋_GB2312" w:eastAsia="仿宋_GB2312" w:cs="仿宋_GB2312"/>
                <w:i w:val="0"/>
                <w:caps w:val="0"/>
                <w:color w:val="333333"/>
                <w:spacing w:val="0"/>
                <w:sz w:val="32"/>
                <w:szCs w:val="32"/>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其他</w:t>
            </w:r>
            <w:r>
              <w:rPr>
                <w:rFonts w:hint="eastAsia" w:ascii="仿宋_GB2312" w:hAnsi="仿宋_GB2312" w:eastAsia="仿宋_GB2312" w:cs="仿宋_GB2312"/>
                <w:i w:val="0"/>
                <w:caps w:val="0"/>
                <w:color w:val="000000"/>
                <w:spacing w:val="0"/>
                <w:sz w:val="32"/>
                <w:szCs w:val="32"/>
              </w:rPr>
              <w:br w:type="textWrapping"/>
            </w:r>
            <w:r>
              <w:rPr>
                <w:rFonts w:hint="eastAsia" w:ascii="仿宋_GB2312" w:hAnsi="仿宋_GB2312" w:eastAsia="仿宋_GB2312" w:cs="仿宋_GB2312"/>
                <w:i w:val="0"/>
                <w:caps w:val="0"/>
                <w:color w:val="000000"/>
                <w:spacing w:val="0"/>
                <w:sz w:val="32"/>
                <w:szCs w:val="32"/>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rPr>
              <w:t>尚未</w:t>
            </w:r>
            <w:r>
              <w:rPr>
                <w:rFonts w:hint="eastAsia" w:ascii="仿宋_GB2312" w:hAnsi="仿宋_GB2312" w:eastAsia="仿宋_GB2312" w:cs="仿宋_GB2312"/>
                <w:i w:val="0"/>
                <w:caps w:val="0"/>
                <w:color w:val="333333"/>
                <w:spacing w:val="0"/>
                <w:sz w:val="32"/>
                <w:szCs w:val="32"/>
              </w:rPr>
              <w:br w:type="textWrapping"/>
            </w:r>
            <w:r>
              <w:rPr>
                <w:rFonts w:hint="eastAsia" w:ascii="仿宋_GB2312" w:hAnsi="仿宋_GB2312" w:eastAsia="仿宋_GB2312" w:cs="仿宋_GB2312"/>
                <w:i w:val="0"/>
                <w:caps w:val="0"/>
                <w:color w:val="333333"/>
                <w:spacing w:val="0"/>
                <w:sz w:val="32"/>
                <w:szCs w:val="32"/>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c>
          <w:tcPr>
            <w:tcW w:w="645"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0</w:t>
            </w:r>
          </w:p>
        </w:tc>
      </w:tr>
    </w:tbl>
    <w:p>
      <w:pPr>
        <w:widowControl/>
        <w:shd w:val="clear" w:color="auto" w:fill="FFFFFF"/>
        <w:spacing w:line="480" w:lineRule="auto"/>
        <w:jc w:val="both"/>
        <w:rPr>
          <w:rFonts w:ascii="仿宋_GB2312" w:hAnsi="宋体" w:eastAsia="仿宋_GB2312" w:cs="宋体"/>
          <w:kern w:val="0"/>
          <w:sz w:val="32"/>
          <w:szCs w:val="32"/>
        </w:rPr>
      </w:pPr>
      <w:r>
        <w:rPr>
          <w:rFonts w:hint="eastAsia" w:ascii="宋体" w:hAnsi="宋体" w:eastAsia="仿宋_GB2312" w:cs="宋体"/>
          <w:color w:val="333333"/>
          <w:kern w:val="0"/>
          <w:sz w:val="32"/>
          <w:szCs w:val="32"/>
        </w:rPr>
        <w:t> </w:t>
      </w:r>
    </w:p>
    <w:p>
      <w:pPr>
        <w:widowControl/>
        <w:shd w:val="clear" w:color="auto" w:fill="FFFFFF"/>
        <w:ind w:firstLine="640" w:firstLineChars="200"/>
        <w:jc w:val="left"/>
        <w:rPr>
          <w:rFonts w:hint="eastAsia" w:ascii="仿宋_GB2312" w:hAnsi="宋体" w:eastAsia="仿宋_GB2312" w:cs="宋体"/>
          <w:color w:val="333333"/>
          <w:kern w:val="0"/>
          <w:sz w:val="32"/>
          <w:szCs w:val="32"/>
        </w:rPr>
      </w:pPr>
      <w:r>
        <w:rPr>
          <w:rFonts w:hint="eastAsia" w:ascii="黑体" w:hAnsi="宋体" w:eastAsia="黑体" w:cs="宋体"/>
          <w:bCs/>
          <w:color w:val="333333"/>
          <w:kern w:val="0"/>
          <w:sz w:val="32"/>
          <w:szCs w:val="32"/>
        </w:rPr>
        <w:t>五、存在的主要问题及改进情况</w:t>
      </w:r>
    </w:p>
    <w:p>
      <w:pPr>
        <w:widowControl/>
        <w:shd w:val="clear" w:color="auto" w:fill="FFFFFF"/>
        <w:ind w:firstLine="640" w:firstLineChars="200"/>
        <w:jc w:val="left"/>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我局虽然已按上级要求及时、规范公开和分类信息，但仍存在一些问题，主要表现在：</w:t>
      </w:r>
      <w:r>
        <w:rPr>
          <w:rFonts w:hint="default" w:ascii="仿宋_GB2312" w:hAnsi="宋体" w:eastAsia="仿宋_GB2312" w:cs="宋体"/>
          <w:color w:val="333333"/>
          <w:kern w:val="0"/>
          <w:sz w:val="32"/>
          <w:szCs w:val="32"/>
        </w:rPr>
        <w:t>一是</w:t>
      </w:r>
      <w:r>
        <w:rPr>
          <w:rFonts w:hint="eastAsia" w:ascii="仿宋_GB2312" w:hAnsi="宋体" w:eastAsia="仿宋_GB2312" w:cs="宋体"/>
          <w:color w:val="333333"/>
          <w:kern w:val="0"/>
          <w:sz w:val="32"/>
          <w:szCs w:val="32"/>
        </w:rPr>
        <w:t>政府信息公开的</w:t>
      </w:r>
      <w:r>
        <w:rPr>
          <w:rFonts w:hint="default" w:ascii="仿宋_GB2312" w:hAnsi="宋体" w:eastAsia="仿宋_GB2312" w:cs="宋体"/>
          <w:color w:val="333333"/>
          <w:kern w:val="0"/>
          <w:sz w:val="32"/>
          <w:szCs w:val="32"/>
        </w:rPr>
        <w:t>速度</w:t>
      </w:r>
      <w:r>
        <w:rPr>
          <w:rFonts w:hint="eastAsia" w:ascii="仿宋_GB2312" w:hAnsi="宋体" w:eastAsia="仿宋_GB2312" w:cs="宋体"/>
          <w:color w:val="333333"/>
          <w:kern w:val="0"/>
          <w:sz w:val="32"/>
          <w:szCs w:val="32"/>
        </w:rPr>
        <w:t>有待进一步</w:t>
      </w:r>
      <w:r>
        <w:rPr>
          <w:rFonts w:hint="default" w:ascii="仿宋_GB2312" w:hAnsi="宋体" w:eastAsia="仿宋_GB2312" w:cs="宋体"/>
          <w:color w:val="333333"/>
          <w:kern w:val="0"/>
          <w:sz w:val="32"/>
          <w:szCs w:val="32"/>
        </w:rPr>
        <w:t>提高</w:t>
      </w:r>
      <w:r>
        <w:rPr>
          <w:rFonts w:hint="eastAsia" w:ascii="仿宋_GB2312" w:hAnsi="宋体" w:eastAsia="仿宋_GB2312" w:cs="宋体"/>
          <w:color w:val="333333"/>
          <w:kern w:val="0"/>
          <w:sz w:val="32"/>
          <w:szCs w:val="32"/>
        </w:rPr>
        <w:t>。信息发布的积极性和主动性</w:t>
      </w:r>
      <w:r>
        <w:rPr>
          <w:rFonts w:hint="default" w:ascii="仿宋_GB2312" w:hAnsi="宋体" w:eastAsia="仿宋_GB2312" w:cs="宋体"/>
          <w:color w:val="333333"/>
          <w:kern w:val="0"/>
          <w:sz w:val="32"/>
          <w:szCs w:val="32"/>
        </w:rPr>
        <w:t>需进一步增强；二是</w:t>
      </w:r>
      <w:r>
        <w:rPr>
          <w:rFonts w:hint="eastAsia" w:ascii="仿宋_GB2312" w:hAnsi="宋体" w:eastAsia="仿宋_GB2312" w:cs="宋体"/>
          <w:color w:val="333333"/>
          <w:kern w:val="0"/>
          <w:sz w:val="32"/>
          <w:szCs w:val="32"/>
        </w:rPr>
        <w:t>政府信息公开的机制有待进一步完善。用制度规范、约束政务公开工作的机制需要进一步建立健全。</w:t>
      </w:r>
    </w:p>
    <w:p>
      <w:pPr>
        <w:widowControl/>
        <w:shd w:val="clear" w:color="auto" w:fill="FFFFFF"/>
        <w:ind w:firstLine="640" w:firstLineChars="200"/>
        <w:jc w:val="left"/>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针对以上问题，将采取以下改进措施：</w:t>
      </w:r>
    </w:p>
    <w:p>
      <w:pPr>
        <w:widowControl/>
        <w:shd w:val="clear" w:color="auto" w:fill="FFFFFF"/>
        <w:ind w:firstLine="640" w:firstLineChars="200"/>
        <w:jc w:val="left"/>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1、认真梳理政务信息，进一步规范工作流程。按照"公开为原则，不公开为例外"的总体要求，及时上传政府信息，定期维护，确保信息公开准确、及时、有效。</w:t>
      </w:r>
    </w:p>
    <w:p>
      <w:pPr>
        <w:widowControl/>
        <w:shd w:val="clear" w:color="auto" w:fill="FFFFFF"/>
        <w:ind w:firstLine="640" w:firstLineChars="200"/>
        <w:jc w:val="left"/>
        <w:rPr>
          <w:rFonts w:hint="eastAsia"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2、完善信息公开工作评测考核机制。进一步规范、细化政府信息公开工作检查考核制度，保证信息及时更新。</w:t>
      </w:r>
    </w:p>
    <w:p>
      <w:pPr>
        <w:widowControl/>
        <w:shd w:val="clear" w:color="auto" w:fill="FFFFFF"/>
        <w:ind w:firstLine="640" w:firstLineChars="200"/>
        <w:jc w:val="left"/>
        <w:rPr>
          <w:rFonts w:ascii="仿宋_GB2312" w:hAnsi="宋体" w:eastAsia="仿宋_GB2312" w:cs="宋体"/>
          <w:color w:val="333333"/>
          <w:kern w:val="0"/>
          <w:sz w:val="32"/>
          <w:szCs w:val="32"/>
        </w:rPr>
      </w:pPr>
      <w:r>
        <w:rPr>
          <w:rFonts w:hint="eastAsia" w:ascii="仿宋_GB2312" w:hAnsi="宋体" w:eastAsia="仿宋_GB2312" w:cs="宋体"/>
          <w:color w:val="333333"/>
          <w:kern w:val="0"/>
          <w:sz w:val="32"/>
          <w:szCs w:val="32"/>
        </w:rPr>
        <w:t>3、加强人员培训和工作交流，不断提高工作人员的综合素质和技术能力，提高信息公开工作水平。</w:t>
      </w:r>
    </w:p>
    <w:p>
      <w:pPr>
        <w:widowControl/>
        <w:shd w:val="clear" w:color="auto" w:fill="FFFFFF"/>
        <w:ind w:firstLine="640" w:firstLineChars="200"/>
        <w:jc w:val="left"/>
        <w:rPr>
          <w:rFonts w:ascii="黑体" w:hAnsi="宋体" w:eastAsia="黑体" w:cs="宋体"/>
          <w:kern w:val="0"/>
          <w:sz w:val="32"/>
          <w:szCs w:val="32"/>
        </w:rPr>
      </w:pPr>
      <w:r>
        <w:rPr>
          <w:rFonts w:hint="eastAsia" w:ascii="黑体" w:hAnsi="宋体" w:eastAsia="黑体" w:cs="宋体"/>
          <w:bCs/>
          <w:color w:val="333333"/>
          <w:kern w:val="0"/>
          <w:sz w:val="32"/>
          <w:szCs w:val="32"/>
        </w:rPr>
        <w:t>六、其他需要报告的事项</w:t>
      </w:r>
    </w:p>
    <w:p>
      <w:pPr>
        <w:widowControl/>
        <w:shd w:val="clear" w:color="auto" w:fill="FFFFFF"/>
        <w:ind w:firstLine="640" w:firstLineChars="200"/>
        <w:jc w:val="left"/>
        <w:rPr>
          <w:rFonts w:ascii="仿宋_GB2312" w:hAnsi="宋体" w:eastAsia="仿宋_GB2312" w:cs="宋体"/>
          <w:kern w:val="0"/>
          <w:sz w:val="32"/>
          <w:szCs w:val="32"/>
        </w:rPr>
      </w:pPr>
      <w:r>
        <w:rPr>
          <w:rFonts w:hint="eastAsia" w:ascii="仿宋_GB2312" w:hAnsi="宋体" w:eastAsia="仿宋_GB2312" w:cs="宋体"/>
          <w:color w:val="333333"/>
          <w:kern w:val="0"/>
          <w:sz w:val="32"/>
          <w:szCs w:val="32"/>
        </w:rPr>
        <w:t>无其他需要报告的事项。</w:t>
      </w:r>
    </w:p>
    <w:p/>
    <w:p/>
    <w:p/>
    <w:p/>
    <w:p/>
    <w:p/>
    <w:p/>
    <w:p/>
    <w:p>
      <w:pPr>
        <w:rPr>
          <w:rFonts w:hint="default" w:ascii="仿宋" w:hAnsi="仿宋" w:eastAsia="仿宋" w:cs="仿宋"/>
          <w:sz w:val="32"/>
          <w:szCs w:val="32"/>
        </w:rPr>
      </w:pPr>
    </w:p>
    <w:sectPr>
      <w:pgSz w:w="11906" w:h="16838"/>
      <w:pgMar w:top="0" w:right="1800" w:bottom="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00"/>
    <w:family w:val="swiss"/>
    <w:pitch w:val="default"/>
    <w:sig w:usb0="00000000" w:usb1="00000000" w:usb2="00000016" w:usb3="00000000" w:csb0="0004001F" w:csb1="00000000"/>
  </w:font>
  <w:font w:name="楷体_GB2312">
    <w:altName w:val="楷体"/>
    <w:panose1 w:val="02010609030101010101"/>
    <w:charset w:val="00"/>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B739C6C"/>
    <w:rsid w:val="2DEC61FC"/>
    <w:rsid w:val="373F78FF"/>
    <w:rsid w:val="6DFF5057"/>
    <w:rsid w:val="74BADBEE"/>
    <w:rsid w:val="7D5D529E"/>
    <w:rsid w:val="8FFBB1CF"/>
    <w:rsid w:val="BAFFC594"/>
    <w:rsid w:val="DCDE7519"/>
    <w:rsid w:val="DFB7A8C6"/>
    <w:rsid w:val="ECBDD41E"/>
    <w:rsid w:val="F6F4839A"/>
    <w:rsid w:val="FB739C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81.3333333333333</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2022-01-14T21:48:00Z</dcterms:created>
  <dc:creator>greatwall</dc:creator>
  <cp:lastModifiedBy>greatwall</cp:lastModifiedBy>
  <cp:lastPrinted>2022-01-25T18:35:53Z</cp:lastPrinted>
  <dcterms:modified xsi:type="dcterms:W3CDTF">2022-01-26T09:28:30Z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ies>
</file>