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keepNext w:val="0"/>
        <w:keepLines w:val="0"/>
        <w:pageBreakBefore w:val="0"/>
        <w:widowControl w:val="0"/>
        <w:kinsoku/>
        <w:wordWrap/>
        <w:overflowPunct/>
        <w:topLinePunct w:val="0"/>
        <w:bidi w:val="0"/>
        <w:snapToGrid w:val="0"/>
        <w:spacing w:line="600" w:lineRule="exact"/>
        <w:ind w:left="0" w:leftChars="0" w:firstLine="0" w:firstLineChars="0"/>
        <w:jc w:val="center"/>
        <w:textAlignment w:val="auto"/>
        <w:rPr>
          <w:rFonts w:hint="eastAsia" w:ascii="方正小标宋简体" w:hAnsi="方正小标宋简体" w:eastAsia="方正小标宋简体" w:cs="方正小标宋简体"/>
          <w:b/>
          <w:bCs/>
          <w:color w:val="auto"/>
          <w:sz w:val="44"/>
          <w:szCs w:val="44"/>
          <w:lang w:val="en-US" w:eastAsia="zh-CN"/>
        </w:rPr>
      </w:pPr>
      <w:r>
        <w:rPr>
          <w:rFonts w:hint="eastAsia" w:ascii="方正小标宋简体" w:hAnsi="方正小标宋简体" w:eastAsia="方正小标宋简体" w:cs="方正小标宋简体"/>
          <w:b/>
          <w:bCs/>
          <w:color w:val="auto"/>
          <w:sz w:val="44"/>
          <w:szCs w:val="44"/>
          <w:lang w:val="en-US" w:eastAsia="zh-CN"/>
        </w:rPr>
        <w:t>牡丹江市人力资源和社会保障局</w:t>
      </w:r>
    </w:p>
    <w:p>
      <w:pPr>
        <w:pStyle w:val="16"/>
        <w:keepNext w:val="0"/>
        <w:keepLines w:val="0"/>
        <w:pageBreakBefore w:val="0"/>
        <w:widowControl w:val="0"/>
        <w:kinsoku/>
        <w:wordWrap/>
        <w:overflowPunct/>
        <w:topLinePunct w:val="0"/>
        <w:bidi w:val="0"/>
        <w:snapToGrid w:val="0"/>
        <w:spacing w:line="600" w:lineRule="exact"/>
        <w:ind w:left="0" w:leftChars="0" w:firstLine="0" w:firstLineChars="0"/>
        <w:jc w:val="center"/>
        <w:textAlignment w:val="auto"/>
        <w:rPr>
          <w:rFonts w:hint="eastAsia" w:ascii="方正小标宋简体" w:hAnsi="方正小标宋简体" w:eastAsia="方正小标宋简体" w:cs="方正小标宋简体"/>
          <w:b/>
          <w:bCs/>
          <w:color w:val="auto"/>
          <w:sz w:val="44"/>
          <w:szCs w:val="44"/>
          <w:lang w:val="en-US" w:eastAsia="zh-CN"/>
        </w:rPr>
      </w:pPr>
      <w:r>
        <w:rPr>
          <w:rFonts w:hint="eastAsia" w:ascii="方正小标宋简体" w:hAnsi="方正小标宋简体" w:eastAsia="方正小标宋简体" w:cs="方正小标宋简体"/>
          <w:b/>
          <w:bCs/>
          <w:color w:val="auto"/>
          <w:sz w:val="44"/>
          <w:szCs w:val="44"/>
          <w:lang w:val="en-US" w:eastAsia="zh-CN"/>
        </w:rPr>
        <w:t>2021年政府信息公开工作年度报告</w:t>
      </w:r>
    </w:p>
    <w:p>
      <w:pPr>
        <w:widowControl/>
        <w:spacing w:before="75" w:beforeAutospacing="0" w:after="75" w:afterAutospacing="0"/>
        <w:ind w:left="0" w:right="0" w:firstLine="0"/>
        <w:jc w:val="center"/>
        <w:rPr>
          <w:rFonts w:hint="default" w:ascii="Tahoma" w:hAnsi="Tahoma" w:eastAsia="Tahoma" w:cs="Tahoma"/>
          <w:i w:val="0"/>
          <w:caps w:val="0"/>
          <w:color w:val="000000"/>
          <w:spacing w:val="0"/>
          <w:sz w:val="18"/>
          <w:szCs w:val="18"/>
        </w:rPr>
      </w:pPr>
    </w:p>
    <w:p>
      <w:pPr>
        <w:widowControl/>
        <w:spacing w:before="75" w:beforeAutospacing="0" w:after="75" w:afterAutospacing="0"/>
        <w:ind w:left="0" w:right="0" w:firstLine="0"/>
        <w:jc w:val="center"/>
        <w:rPr>
          <w:rFonts w:hint="eastAsia" w:ascii="仿宋_GB2312" w:hAnsi="仿宋_GB2312" w:eastAsia="仿宋_GB2312" w:cs="仿宋_GB2312"/>
          <w:i w:val="0"/>
          <w:caps w:val="0"/>
          <w:color w:val="000000"/>
          <w:spacing w:val="0"/>
          <w:kern w:val="0"/>
          <w:sz w:val="32"/>
          <w:szCs w:val="32"/>
          <w:lang w:val="en-US" w:eastAsia="zh-CN"/>
        </w:rPr>
      </w:pPr>
      <w:r>
        <w:rPr>
          <w:rFonts w:hint="eastAsia" w:ascii="仿宋_GB2312" w:hAnsi="仿宋_GB2312" w:eastAsia="仿宋_GB2312" w:cs="仿宋_GB2312"/>
          <w:i w:val="0"/>
          <w:caps w:val="0"/>
          <w:color w:val="000000"/>
          <w:spacing w:val="0"/>
          <w:kern w:val="0"/>
          <w:sz w:val="32"/>
          <w:szCs w:val="32"/>
          <w:lang w:val="en-US" w:eastAsia="zh-CN"/>
        </w:rPr>
        <w:t>2022年1月30日</w:t>
      </w:r>
    </w:p>
    <w:p>
      <w:pPr>
        <w:widowControl/>
        <w:spacing w:before="75" w:beforeAutospacing="0" w:after="75" w:afterAutospacing="0"/>
        <w:ind w:left="0" w:right="0" w:firstLine="0"/>
        <w:jc w:val="center"/>
        <w:rPr>
          <w:rFonts w:hint="eastAsia" w:ascii="仿宋_GB2312" w:hAnsi="仿宋_GB2312" w:eastAsia="仿宋_GB2312" w:cs="仿宋_GB2312"/>
          <w:i w:val="0"/>
          <w:caps w:val="0"/>
          <w:color w:val="000000"/>
          <w:spacing w:val="0"/>
          <w:kern w:val="0"/>
          <w:sz w:val="32"/>
          <w:szCs w:val="32"/>
          <w:lang w:val="en-US" w:eastAsia="zh-CN"/>
        </w:rPr>
      </w:pPr>
    </w:p>
    <w:p>
      <w:pPr>
        <w:keepNext w:val="0"/>
        <w:keepLines w:val="0"/>
        <w:pageBreakBefore w:val="0"/>
        <w:widowControl/>
        <w:kinsoku/>
        <w:wordWrap/>
        <w:overflowPunct/>
        <w:topLinePunct w:val="0"/>
        <w:bidi w:val="0"/>
        <w:adjustRightInd w:val="0"/>
        <w:snapToGrid w:val="0"/>
        <w:spacing w:before="75" w:beforeAutospacing="0" w:after="75" w:afterAutospacing="0" w:line="570" w:lineRule="exact"/>
        <w:ind w:left="0" w:right="0" w:firstLine="640" w:firstLineChars="200"/>
        <w:jc w:val="both"/>
        <w:textAlignment w:val="auto"/>
        <w:rPr>
          <w:rFonts w:hint="eastAsia"/>
        </w:rPr>
      </w:pPr>
      <w:r>
        <w:rPr>
          <w:rFonts w:hint="eastAsia" w:ascii="仿宋_GB2312" w:hAnsi="仿宋_GB2312" w:eastAsia="仿宋_GB2312" w:cs="仿宋_GB2312"/>
          <w:color w:val="000000"/>
          <w:kern w:val="0"/>
          <w:sz w:val="32"/>
          <w:szCs w:val="32"/>
          <w:lang w:val="en-US" w:eastAsia="zh-CN" w:bidi="ar-SA"/>
        </w:rPr>
        <w:t>根据新修订的《中华人民共和国政府信息公开条例》（中华人民共和国国务院令第711号，以下简称新《条例》）的规定和国务院办公厅政府信息与政务公开办公室关于印发《中华人民共和国政府信息公开工作年度报告格式》的通知（国办公开办函〔2021〕30号，以下简称《通知》）的要求，我局在总结2020年政府信息公开工作的基础上，编制了此报告。报告中所列数据统计期限自2021年1月1日起至2021年12月31日止。本年度报告的电子版，可以通过牡丹江市人民政府门户网站：政府信息公开－政府信息公开年报－市直部门政府信息公开年度报告－市人社局中查阅(http://http://zwgk.mdj.gov.cn/ndbg/)下载,如对本报告有疑问，请联系牡丹江市人力资源和社会保障局，地址：东安区江南卧龙街1号牡丹江市人力资源和社会保障局，邮编：157020，电话：0453-6172051。</w:t>
      </w:r>
    </w:p>
    <w:p>
      <w:pPr>
        <w:keepNext w:val="0"/>
        <w:keepLines w:val="0"/>
        <w:pageBreakBefore w:val="0"/>
        <w:widowControl/>
        <w:numPr>
          <w:ilvl w:val="0"/>
          <w:numId w:val="1"/>
        </w:numPr>
        <w:kinsoku/>
        <w:wordWrap/>
        <w:overflowPunct/>
        <w:topLinePunct w:val="0"/>
        <w:autoSpaceDE/>
        <w:autoSpaceDN/>
        <w:bidi w:val="0"/>
        <w:adjustRightInd w:val="0"/>
        <w:snapToGrid w:val="0"/>
        <w:spacing w:before="75" w:beforeAutospacing="0" w:after="75" w:afterAutospacing="0" w:line="570" w:lineRule="exact"/>
        <w:ind w:left="0" w:leftChars="0" w:right="0" w:firstLine="640" w:firstLineChars="200"/>
        <w:jc w:val="left"/>
        <w:textAlignment w:val="auto"/>
        <w:rPr>
          <w:rFonts w:hint="eastAsia" w:ascii="黑体" w:hAnsi="黑体" w:eastAsia="黑体" w:cs="黑体"/>
          <w:b w:val="0"/>
          <w:bCs w:val="0"/>
          <w:i w:val="0"/>
          <w:caps w:val="0"/>
          <w:color w:val="000000"/>
          <w:spacing w:val="0"/>
          <w:sz w:val="32"/>
          <w:szCs w:val="32"/>
        </w:rPr>
      </w:pPr>
      <w:r>
        <w:rPr>
          <w:rFonts w:hint="eastAsia" w:ascii="黑体" w:hAnsi="黑体" w:eastAsia="黑体" w:cs="黑体"/>
          <w:b w:val="0"/>
          <w:bCs w:val="0"/>
          <w:i w:val="0"/>
          <w:caps w:val="0"/>
          <w:color w:val="000000"/>
          <w:spacing w:val="0"/>
          <w:kern w:val="0"/>
          <w:sz w:val="32"/>
          <w:szCs w:val="32"/>
          <w:lang w:val="en-US" w:eastAsia="zh-CN"/>
        </w:rPr>
        <w:t>总体情况</w:t>
      </w:r>
    </w:p>
    <w:p>
      <w:pPr>
        <w:keepNext w:val="0"/>
        <w:keepLines w:val="0"/>
        <w:pageBreakBefore w:val="0"/>
        <w:widowControl/>
        <w:kinsoku/>
        <w:wordWrap/>
        <w:overflowPunct/>
        <w:topLinePunct w:val="0"/>
        <w:bidi w:val="0"/>
        <w:adjustRightInd w:val="0"/>
        <w:snapToGrid w:val="0"/>
        <w:spacing w:before="75" w:beforeAutospacing="0" w:after="75" w:afterAutospacing="0" w:line="570" w:lineRule="exact"/>
        <w:ind w:left="0" w:right="0" w:firstLine="640" w:firstLineChars="200"/>
        <w:jc w:val="both"/>
        <w:textAlignment w:val="auto"/>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2021年，牡丹江市人社局深入贯彻各级政务公开部署要求，深入学习贯彻党的十九大精神，以习近平新时代中国特色社会主义思想为指引，牢固树立以人民为中心的发展思想，坚持稳中求进工作总基调，做好“六稳”工作，落实“六保”任务，积极落实市委市政府部署要求，统筹疫情防控和人社事业发展，以“党史学习教育”、“我为群众办实事”实践活动为引领，全力稳就业、强社保、聚人才、促和谐，各项工作均取得积极进展。</w:t>
      </w:r>
    </w:p>
    <w:p>
      <w:pPr>
        <w:keepNext w:val="0"/>
        <w:keepLines w:val="0"/>
        <w:pageBreakBefore w:val="0"/>
        <w:widowControl/>
        <w:numPr>
          <w:ilvl w:val="0"/>
          <w:numId w:val="2"/>
        </w:numPr>
        <w:kinsoku/>
        <w:wordWrap/>
        <w:overflowPunct/>
        <w:topLinePunct w:val="0"/>
        <w:autoSpaceDE/>
        <w:autoSpaceDN/>
        <w:bidi w:val="0"/>
        <w:adjustRightInd w:val="0"/>
        <w:snapToGrid w:val="0"/>
        <w:spacing w:before="75" w:after="75" w:line="570" w:lineRule="exact"/>
        <w:ind w:firstLine="643" w:firstLineChars="200"/>
        <w:jc w:val="left"/>
        <w:textAlignment w:val="auto"/>
        <w:rPr>
          <w:rFonts w:hint="eastAsia" w:ascii="楷体_GB2312" w:hAnsi="楷体_GB2312" w:eastAsia="楷体_GB2312" w:cs="楷体_GB2312"/>
          <w:b/>
          <w:bCs/>
          <w:color w:val="000000"/>
          <w:kern w:val="0"/>
          <w:sz w:val="32"/>
          <w:szCs w:val="32"/>
        </w:rPr>
      </w:pPr>
      <w:r>
        <w:rPr>
          <w:rFonts w:hint="eastAsia" w:ascii="楷体_GB2312" w:hAnsi="楷体_GB2312" w:eastAsia="楷体_GB2312" w:cs="楷体_GB2312"/>
          <w:b/>
          <w:bCs/>
          <w:color w:val="000000"/>
          <w:kern w:val="0"/>
          <w:sz w:val="32"/>
          <w:szCs w:val="32"/>
        </w:rPr>
        <w:t>健全组织性、系统性工作模式</w:t>
      </w:r>
    </w:p>
    <w:p>
      <w:pPr>
        <w:keepNext w:val="0"/>
        <w:keepLines w:val="0"/>
        <w:pageBreakBefore w:val="0"/>
        <w:widowControl/>
        <w:numPr>
          <w:ilvl w:val="0"/>
          <w:numId w:val="0"/>
        </w:numPr>
        <w:kinsoku/>
        <w:wordWrap/>
        <w:overflowPunct/>
        <w:topLinePunct w:val="0"/>
        <w:autoSpaceDE/>
        <w:autoSpaceDN/>
        <w:bidi w:val="0"/>
        <w:adjustRightInd w:val="0"/>
        <w:snapToGrid w:val="0"/>
        <w:spacing w:before="75" w:line="57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进一步强化信息公开工作的组织领导，加强了由主要领导任组长，分管领导任副组长，有关处室负责人为成员的局信息公开领导小组。同时依托办公室，落实信息公开要求。由办公室人员具体负责政府信息公开工作的开展，协调和落实。</w:t>
      </w:r>
    </w:p>
    <w:p>
      <w:pPr>
        <w:keepNext w:val="0"/>
        <w:keepLines w:val="0"/>
        <w:pageBreakBefore w:val="0"/>
        <w:widowControl/>
        <w:numPr>
          <w:ilvl w:val="0"/>
          <w:numId w:val="2"/>
        </w:numPr>
        <w:kinsoku/>
        <w:wordWrap/>
        <w:overflowPunct/>
        <w:topLinePunct w:val="0"/>
        <w:autoSpaceDE/>
        <w:autoSpaceDN/>
        <w:bidi w:val="0"/>
        <w:adjustRightInd w:val="0"/>
        <w:snapToGrid w:val="0"/>
        <w:spacing w:before="75" w:after="75" w:line="570" w:lineRule="exact"/>
        <w:ind w:firstLine="643" w:firstLineChars="200"/>
        <w:jc w:val="left"/>
        <w:textAlignment w:val="auto"/>
        <w:rPr>
          <w:rFonts w:hint="default" w:ascii="楷体_GB2312" w:hAnsi="楷体_GB2312" w:eastAsia="楷体_GB2312" w:cs="楷体_GB2312"/>
          <w:b/>
          <w:bCs/>
          <w:color w:val="000000"/>
          <w:kern w:val="0"/>
          <w:sz w:val="32"/>
          <w:szCs w:val="32"/>
          <w:lang w:val="en-US" w:eastAsia="zh-CN"/>
        </w:rPr>
      </w:pPr>
      <w:r>
        <w:rPr>
          <w:rFonts w:hint="eastAsia" w:ascii="楷体_GB2312" w:hAnsi="楷体_GB2312" w:eastAsia="楷体_GB2312" w:cs="楷体_GB2312"/>
          <w:b/>
          <w:bCs/>
          <w:color w:val="000000"/>
          <w:kern w:val="0"/>
          <w:sz w:val="32"/>
          <w:szCs w:val="32"/>
          <w:lang w:val="en-US" w:eastAsia="zh-CN"/>
        </w:rPr>
        <w:t>完善制度、加强管理</w:t>
      </w:r>
    </w:p>
    <w:p>
      <w:pPr>
        <w:keepNext w:val="0"/>
        <w:keepLines w:val="0"/>
        <w:pageBreakBefore w:val="0"/>
        <w:widowControl/>
        <w:numPr>
          <w:ilvl w:val="0"/>
          <w:numId w:val="0"/>
        </w:numPr>
        <w:kinsoku/>
        <w:wordWrap/>
        <w:overflowPunct/>
        <w:topLinePunct w:val="0"/>
        <w:autoSpaceDE/>
        <w:autoSpaceDN/>
        <w:bidi w:val="0"/>
        <w:adjustRightInd w:val="0"/>
        <w:snapToGrid w:val="0"/>
        <w:spacing w:line="57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在建立信息公开制度的基础上，不断完善办理政府信息公开申请事项工作规范，细化了工作流程，明确工作要求。实行统一归口管理，建立了常态化工作机制。将信息公开的内容和速率作为信息公开工作的核心，安排人员负责公开信息的编辑、审核与发布。</w:t>
      </w:r>
    </w:p>
    <w:p>
      <w:pPr>
        <w:keepNext w:val="0"/>
        <w:keepLines w:val="0"/>
        <w:pageBreakBefore w:val="0"/>
        <w:widowControl/>
        <w:numPr>
          <w:ilvl w:val="0"/>
          <w:numId w:val="2"/>
        </w:numPr>
        <w:kinsoku/>
        <w:wordWrap/>
        <w:overflowPunct/>
        <w:topLinePunct w:val="0"/>
        <w:autoSpaceDE/>
        <w:autoSpaceDN/>
        <w:bidi w:val="0"/>
        <w:adjustRightInd w:val="0"/>
        <w:snapToGrid w:val="0"/>
        <w:spacing w:before="75" w:after="75" w:line="570" w:lineRule="exact"/>
        <w:ind w:firstLine="643" w:firstLineChars="200"/>
        <w:jc w:val="left"/>
        <w:textAlignment w:val="auto"/>
        <w:rPr>
          <w:rFonts w:hint="eastAsia" w:ascii="楷体_GB2312" w:hAnsi="楷体_GB2312" w:eastAsia="楷体_GB2312" w:cs="楷体_GB2312"/>
          <w:b/>
          <w:bCs/>
          <w:color w:val="000000"/>
          <w:kern w:val="0"/>
          <w:sz w:val="32"/>
          <w:szCs w:val="32"/>
        </w:rPr>
      </w:pPr>
      <w:r>
        <w:rPr>
          <w:rFonts w:hint="eastAsia" w:ascii="楷体_GB2312" w:hAnsi="楷体_GB2312" w:eastAsia="楷体_GB2312" w:cs="楷体_GB2312"/>
          <w:b/>
          <w:bCs/>
          <w:color w:val="000000"/>
          <w:kern w:val="0"/>
          <w:sz w:val="32"/>
          <w:szCs w:val="32"/>
          <w:lang w:val="en-US" w:eastAsia="zh-CN"/>
        </w:rPr>
        <w:t xml:space="preserve"> </w:t>
      </w:r>
      <w:r>
        <w:rPr>
          <w:rFonts w:hint="eastAsia" w:ascii="楷体_GB2312" w:hAnsi="楷体_GB2312" w:eastAsia="楷体_GB2312" w:cs="楷体_GB2312"/>
          <w:b/>
          <w:bCs/>
          <w:color w:val="000000"/>
          <w:kern w:val="0"/>
          <w:sz w:val="32"/>
          <w:szCs w:val="32"/>
        </w:rPr>
        <w:t>加强</w:t>
      </w:r>
      <w:r>
        <w:rPr>
          <w:rFonts w:hint="eastAsia" w:ascii="楷体_GB2312" w:hAnsi="楷体_GB2312" w:eastAsia="楷体_GB2312" w:cs="楷体_GB2312"/>
          <w:b/>
          <w:bCs/>
          <w:color w:val="000000"/>
          <w:kern w:val="0"/>
          <w:sz w:val="32"/>
          <w:szCs w:val="32"/>
          <w:lang w:val="en-US" w:eastAsia="zh-CN"/>
        </w:rPr>
        <w:t>网站</w:t>
      </w:r>
      <w:r>
        <w:rPr>
          <w:rFonts w:hint="eastAsia" w:ascii="楷体_GB2312" w:hAnsi="楷体_GB2312" w:eastAsia="楷体_GB2312" w:cs="楷体_GB2312"/>
          <w:b/>
          <w:bCs/>
          <w:color w:val="000000"/>
          <w:kern w:val="0"/>
          <w:sz w:val="32"/>
          <w:szCs w:val="32"/>
        </w:rPr>
        <w:t>宣传、信息公开工作</w:t>
      </w:r>
    </w:p>
    <w:p>
      <w:pPr>
        <w:keepNext w:val="0"/>
        <w:keepLines w:val="0"/>
        <w:pageBreakBefore w:val="0"/>
        <w:widowControl/>
        <w:numPr>
          <w:ilvl w:val="0"/>
          <w:numId w:val="0"/>
        </w:numPr>
        <w:kinsoku/>
        <w:wordWrap/>
        <w:overflowPunct/>
        <w:topLinePunct w:val="0"/>
        <w:autoSpaceDE/>
        <w:autoSpaceDN/>
        <w:bidi w:val="0"/>
        <w:adjustRightInd w:val="0"/>
        <w:snapToGrid w:val="0"/>
        <w:spacing w:line="57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在牡丹江市政府门户网站上将我局主要管理职责向群众公开，对各项服务事项的办理依据、办理程序、受理部门和办理时限进行公布，并按相关要求公开了部门权力清单、</w:t>
      </w:r>
      <w:r>
        <w:rPr>
          <w:rFonts w:hint="default" w:ascii="仿宋_GB2312" w:hAnsi="仿宋_GB2312" w:eastAsia="仿宋_GB2312" w:cs="仿宋_GB2312"/>
          <w:color w:val="auto"/>
          <w:kern w:val="2"/>
          <w:sz w:val="32"/>
          <w:szCs w:val="32"/>
          <w:lang w:val="en-US" w:eastAsia="zh-CN" w:bidi="ar-SA"/>
        </w:rPr>
        <w:t>“三公”经费等财务工作情况等。同时，我局还利用其他形式和媒介做好政策解读和舆情回应工作，围绕最新人力资源和社会保障政策进行深度解读，帮助参保企业和办事群众更清晰地了解最新的人力资源和社会保障政策，提高政策宣传力度。</w:t>
      </w:r>
    </w:p>
    <w:p>
      <w:pPr>
        <w:keepNext w:val="0"/>
        <w:keepLines w:val="0"/>
        <w:pageBreakBefore w:val="0"/>
        <w:widowControl/>
        <w:numPr>
          <w:ilvl w:val="0"/>
          <w:numId w:val="2"/>
        </w:numPr>
        <w:kinsoku/>
        <w:wordWrap/>
        <w:overflowPunct/>
        <w:topLinePunct w:val="0"/>
        <w:autoSpaceDE/>
        <w:autoSpaceDN/>
        <w:bidi w:val="0"/>
        <w:adjustRightInd w:val="0"/>
        <w:snapToGrid w:val="0"/>
        <w:spacing w:before="75" w:after="75" w:line="570" w:lineRule="exact"/>
        <w:ind w:firstLine="643" w:firstLineChars="200"/>
        <w:jc w:val="left"/>
        <w:textAlignment w:val="auto"/>
        <w:rPr>
          <w:rFonts w:hint="eastAsia" w:ascii="楷体_GB2312" w:hAnsi="楷体_GB2312" w:eastAsia="楷体_GB2312" w:cs="楷体_GB2312"/>
          <w:b/>
          <w:bCs/>
          <w:color w:val="000000"/>
          <w:kern w:val="0"/>
          <w:sz w:val="32"/>
          <w:szCs w:val="32"/>
          <w:lang w:val="en-US" w:eastAsia="zh-CN"/>
        </w:rPr>
      </w:pPr>
      <w:r>
        <w:rPr>
          <w:rFonts w:hint="eastAsia" w:ascii="楷体_GB2312" w:hAnsi="楷体_GB2312" w:eastAsia="楷体_GB2312" w:cs="楷体_GB2312"/>
          <w:b/>
          <w:bCs/>
          <w:color w:val="000000"/>
          <w:kern w:val="0"/>
          <w:sz w:val="32"/>
          <w:szCs w:val="32"/>
          <w:lang w:val="en-US" w:eastAsia="zh-CN"/>
        </w:rPr>
        <w:t>《中华人民共和国政府信息公开条例》第二十条第（十五项）法律、法规、规章和国家有关规定应当主动公开的其他政府信息</w:t>
      </w:r>
    </w:p>
    <w:p>
      <w:pPr>
        <w:keepNext w:val="0"/>
        <w:keepLines w:val="0"/>
        <w:pageBreakBefore w:val="0"/>
        <w:kinsoku/>
        <w:wordWrap/>
        <w:overflowPunct/>
        <w:topLinePunct w:val="0"/>
        <w:bidi w:val="0"/>
        <w:adjustRightInd w:val="0"/>
        <w:snapToGrid w:val="0"/>
        <w:spacing w:line="570" w:lineRule="exact"/>
        <w:ind w:firstLine="640" w:firstLineChars="200"/>
        <w:textAlignment w:val="auto"/>
        <w:rPr>
          <w:rFonts w:hint="eastAsia" w:ascii="仿宋" w:hAnsi="仿宋" w:eastAsia="仿宋"/>
          <w:sz w:val="32"/>
          <w:szCs w:val="32"/>
        </w:rPr>
      </w:pPr>
      <w:r>
        <w:rPr>
          <w:rFonts w:hint="eastAsia" w:ascii="仿宋" w:hAnsi="仿宋" w:eastAsia="仿宋" w:cs="Arial"/>
          <w:sz w:val="32"/>
          <w:szCs w:val="32"/>
          <w:lang w:val="en-US" w:eastAsia="zh-CN"/>
        </w:rPr>
        <w:t>2021年，</w:t>
      </w:r>
      <w:r>
        <w:rPr>
          <w:rFonts w:ascii="仿宋" w:hAnsi="仿宋" w:eastAsia="仿宋"/>
          <w:sz w:val="32"/>
          <w:szCs w:val="32"/>
        </w:rPr>
        <w:t>我局</w:t>
      </w:r>
      <w:r>
        <w:rPr>
          <w:rFonts w:hint="eastAsia" w:ascii="仿宋" w:hAnsi="仿宋" w:eastAsia="仿宋"/>
          <w:sz w:val="32"/>
          <w:szCs w:val="32"/>
        </w:rPr>
        <w:t>在网站发布信息</w:t>
      </w:r>
      <w:r>
        <w:rPr>
          <w:rFonts w:ascii="仿宋" w:hAnsi="仿宋" w:eastAsia="仿宋"/>
          <w:sz w:val="32"/>
          <w:szCs w:val="32"/>
        </w:rPr>
        <w:t>总数共</w:t>
      </w:r>
      <w:r>
        <w:rPr>
          <w:rFonts w:hint="eastAsia" w:ascii="仿宋" w:hAnsi="仿宋" w:eastAsia="仿宋"/>
          <w:sz w:val="32"/>
          <w:szCs w:val="32"/>
          <w:lang w:val="en-US" w:eastAsia="zh-CN"/>
        </w:rPr>
        <w:t>165</w:t>
      </w:r>
      <w:r>
        <w:rPr>
          <w:rFonts w:ascii="仿宋" w:hAnsi="仿宋" w:eastAsia="仿宋"/>
          <w:sz w:val="32"/>
          <w:szCs w:val="32"/>
        </w:rPr>
        <w:t>条</w:t>
      </w:r>
      <w:r>
        <w:rPr>
          <w:rFonts w:hint="eastAsia" w:ascii="仿宋" w:hAnsi="仿宋" w:eastAsia="仿宋"/>
          <w:sz w:val="32"/>
          <w:szCs w:val="32"/>
        </w:rPr>
        <w:t>，其中：</w:t>
      </w:r>
      <w:r>
        <w:rPr>
          <w:rFonts w:hint="eastAsia" w:ascii="仿宋" w:hAnsi="仿宋" w:eastAsia="仿宋"/>
          <w:sz w:val="32"/>
          <w:szCs w:val="32"/>
          <w:lang w:val="en-US" w:eastAsia="zh-CN"/>
        </w:rPr>
        <w:t>政府信息公开指南1条，行政执法信息公示5条</w:t>
      </w:r>
      <w:r>
        <w:rPr>
          <w:rFonts w:hint="eastAsia" w:ascii="仿宋" w:hAnsi="仿宋" w:eastAsia="仿宋"/>
          <w:sz w:val="32"/>
          <w:szCs w:val="32"/>
        </w:rPr>
        <w:t>，</w:t>
      </w:r>
      <w:r>
        <w:rPr>
          <w:rFonts w:hint="eastAsia" w:ascii="仿宋" w:hAnsi="仿宋" w:eastAsia="仿宋"/>
          <w:sz w:val="32"/>
          <w:szCs w:val="32"/>
          <w:lang w:val="en-US" w:eastAsia="zh-CN"/>
        </w:rPr>
        <w:t>财政预决算23条，信用10条，部门文件9条，疫情防控信息1</w:t>
      </w:r>
      <w:r>
        <w:rPr>
          <w:rFonts w:hint="eastAsia" w:ascii="仿宋" w:hAnsi="仿宋" w:eastAsia="仿宋"/>
          <w:sz w:val="32"/>
          <w:szCs w:val="32"/>
        </w:rPr>
        <w:t>条，</w:t>
      </w:r>
      <w:r>
        <w:rPr>
          <w:rFonts w:hint="eastAsia" w:ascii="仿宋" w:hAnsi="仿宋" w:eastAsia="仿宋"/>
          <w:sz w:val="32"/>
          <w:szCs w:val="32"/>
          <w:lang w:val="en-US" w:eastAsia="zh-CN"/>
        </w:rPr>
        <w:t>社会保障36</w:t>
      </w:r>
      <w:r>
        <w:rPr>
          <w:rFonts w:hint="eastAsia" w:ascii="仿宋" w:hAnsi="仿宋" w:eastAsia="仿宋"/>
          <w:sz w:val="32"/>
          <w:szCs w:val="32"/>
        </w:rPr>
        <w:t>条，人事人才</w:t>
      </w:r>
      <w:r>
        <w:rPr>
          <w:rFonts w:hint="eastAsia" w:ascii="仿宋" w:hAnsi="仿宋" w:eastAsia="仿宋"/>
          <w:sz w:val="32"/>
          <w:szCs w:val="32"/>
          <w:lang w:val="en-US" w:eastAsia="zh-CN"/>
        </w:rPr>
        <w:t>20</w:t>
      </w:r>
      <w:r>
        <w:rPr>
          <w:rFonts w:hint="eastAsia" w:ascii="仿宋" w:hAnsi="仿宋" w:eastAsia="仿宋"/>
          <w:sz w:val="32"/>
          <w:szCs w:val="32"/>
        </w:rPr>
        <w:t>条</w:t>
      </w:r>
      <w:r>
        <w:rPr>
          <w:rFonts w:hint="eastAsia" w:ascii="仿宋" w:hAnsi="仿宋" w:eastAsia="仿宋"/>
          <w:sz w:val="32"/>
          <w:szCs w:val="32"/>
          <w:lang w:eastAsia="zh-CN"/>
        </w:rPr>
        <w:t>，</w:t>
      </w:r>
      <w:r>
        <w:rPr>
          <w:rFonts w:hint="eastAsia" w:ascii="仿宋" w:hAnsi="仿宋" w:eastAsia="仿宋"/>
          <w:sz w:val="32"/>
          <w:szCs w:val="32"/>
          <w:lang w:val="en-US" w:eastAsia="zh-CN"/>
        </w:rPr>
        <w:t>稳岗就业60条</w:t>
      </w:r>
      <w:r>
        <w:rPr>
          <w:rFonts w:hint="eastAsia" w:ascii="仿宋" w:hAnsi="仿宋" w:eastAsia="仿宋"/>
          <w:sz w:val="32"/>
          <w:szCs w:val="32"/>
        </w:rPr>
        <w:t>。</w:t>
      </w:r>
      <w:r>
        <w:rPr>
          <w:rFonts w:hint="eastAsia" w:ascii="仿宋" w:hAnsi="仿宋" w:eastAsia="仿宋"/>
          <w:sz w:val="32"/>
          <w:szCs w:val="32"/>
          <w:lang w:val="en-US" w:eastAsia="zh-CN"/>
        </w:rPr>
        <w:t>在政务新媒体中发布148</w:t>
      </w:r>
      <w:r>
        <w:rPr>
          <w:rFonts w:hint="eastAsia" w:ascii="仿宋" w:hAnsi="仿宋" w:eastAsia="仿宋"/>
          <w:sz w:val="32"/>
          <w:szCs w:val="32"/>
        </w:rPr>
        <w:t>条</w:t>
      </w:r>
      <w:r>
        <w:rPr>
          <w:rFonts w:hint="eastAsia" w:ascii="仿宋" w:hAnsi="仿宋" w:eastAsia="仿宋"/>
          <w:sz w:val="32"/>
          <w:szCs w:val="32"/>
          <w:lang w:val="en-US" w:eastAsia="zh-CN"/>
        </w:rPr>
        <w:t>信息，总用户数16079人，总浏览量163344</w:t>
      </w:r>
      <w:r>
        <w:rPr>
          <w:rFonts w:hint="eastAsia" w:ascii="仿宋" w:hAnsi="仿宋" w:eastAsia="仿宋"/>
          <w:sz w:val="32"/>
          <w:szCs w:val="32"/>
        </w:rPr>
        <w:t>。报纸、电台、电视台公开信息</w:t>
      </w:r>
      <w:r>
        <w:rPr>
          <w:rFonts w:hint="eastAsia" w:ascii="仿宋" w:hAnsi="仿宋" w:eastAsia="仿宋"/>
          <w:sz w:val="32"/>
          <w:szCs w:val="32"/>
          <w:lang w:val="en-US" w:eastAsia="zh-CN"/>
        </w:rPr>
        <w:t>339</w:t>
      </w:r>
      <w:r>
        <w:rPr>
          <w:rFonts w:hint="eastAsia" w:ascii="仿宋" w:hAnsi="仿宋" w:eastAsia="仿宋"/>
          <w:sz w:val="32"/>
          <w:szCs w:val="32"/>
        </w:rPr>
        <w:t>条。</w:t>
      </w:r>
    </w:p>
    <w:p>
      <w:pPr>
        <w:widowControl w:val="0"/>
        <w:spacing w:before="0" w:beforeAutospacing="0" w:after="0" w:afterAutospacing="0"/>
        <w:ind w:left="0" w:right="0" w:firstLine="435"/>
        <w:jc w:val="left"/>
        <w:rPr>
          <w:rFonts w:hint="eastAsia" w:ascii="宋体" w:hAnsi="宋体" w:eastAsia="宋体" w:cs="宋体"/>
          <w:kern w:val="2"/>
          <w:sz w:val="24"/>
          <w:szCs w:val="24"/>
          <w:lang w:val="en-US" w:eastAsia="zh-CN" w:bidi="ar-SA"/>
        </w:rPr>
      </w:pPr>
    </w:p>
    <w:p>
      <w:pPr>
        <w:widowControl w:val="0"/>
        <w:spacing w:before="0" w:beforeAutospacing="0" w:after="0" w:afterAutospacing="0"/>
        <w:ind w:left="0" w:right="0" w:firstLine="435"/>
        <w:jc w:val="left"/>
        <w:rPr>
          <w:rFonts w:hint="eastAsia" w:ascii="宋体" w:hAnsi="宋体" w:eastAsia="宋体" w:cs="宋体"/>
          <w:kern w:val="2"/>
          <w:sz w:val="24"/>
          <w:szCs w:val="24"/>
          <w:lang w:val="en-US" w:eastAsia="zh-CN" w:bidi="ar-SA"/>
        </w:rPr>
      </w:pPr>
    </w:p>
    <w:p>
      <w:pPr>
        <w:keepNext w:val="0"/>
        <w:keepLines w:val="0"/>
        <w:pageBreakBefore w:val="0"/>
        <w:widowControl/>
        <w:numPr>
          <w:ilvl w:val="0"/>
          <w:numId w:val="1"/>
        </w:numPr>
        <w:kinsoku/>
        <w:wordWrap/>
        <w:overflowPunct/>
        <w:topLinePunct w:val="0"/>
        <w:autoSpaceDE/>
        <w:autoSpaceDN/>
        <w:bidi w:val="0"/>
        <w:adjustRightInd w:val="0"/>
        <w:snapToGrid w:val="0"/>
        <w:spacing w:before="75" w:beforeAutospacing="0" w:after="75" w:afterAutospacing="0" w:line="640" w:lineRule="exact"/>
        <w:ind w:left="0" w:leftChars="0" w:right="0" w:firstLine="720" w:firstLineChars="225"/>
        <w:jc w:val="left"/>
        <w:textAlignment w:val="auto"/>
        <w:rPr>
          <w:rFonts w:hint="eastAsia" w:ascii="黑体" w:hAnsi="黑体" w:eastAsia="黑体" w:cs="黑体"/>
          <w:b w:val="0"/>
          <w:bCs w:val="0"/>
          <w:i w:val="0"/>
          <w:caps w:val="0"/>
          <w:color w:val="000000"/>
          <w:spacing w:val="0"/>
          <w:kern w:val="0"/>
          <w:sz w:val="32"/>
          <w:szCs w:val="32"/>
          <w:lang w:val="en-US" w:eastAsia="zh-CN"/>
        </w:rPr>
      </w:pPr>
      <w:r>
        <w:rPr>
          <w:rFonts w:hint="eastAsia" w:ascii="黑体" w:hAnsi="黑体" w:eastAsia="黑体" w:cs="黑体"/>
          <w:b w:val="0"/>
          <w:bCs w:val="0"/>
          <w:i w:val="0"/>
          <w:caps w:val="0"/>
          <w:color w:val="000000"/>
          <w:spacing w:val="0"/>
          <w:kern w:val="0"/>
          <w:sz w:val="32"/>
          <w:szCs w:val="32"/>
          <w:lang w:val="en-US" w:eastAsia="zh-CN"/>
        </w:rPr>
        <w:t>主动公开政府信息情况</w:t>
      </w:r>
    </w:p>
    <w:p>
      <w:pPr>
        <w:widowControl/>
        <w:numPr>
          <w:ilvl w:val="0"/>
          <w:numId w:val="0"/>
        </w:numPr>
        <w:spacing w:before="75" w:beforeAutospacing="0" w:after="75" w:afterAutospacing="0"/>
        <w:ind w:right="0" w:rightChars="0"/>
        <w:jc w:val="left"/>
        <w:rPr>
          <w:rFonts w:hint="eastAsia" w:ascii="宋体" w:hAnsi="宋体" w:eastAsia="宋体" w:cs="宋体"/>
          <w:b/>
          <w:bCs/>
          <w:i w:val="0"/>
          <w:caps w:val="0"/>
          <w:color w:val="000000"/>
          <w:spacing w:val="0"/>
          <w:kern w:val="0"/>
          <w:sz w:val="24"/>
          <w:szCs w:val="24"/>
          <w:lang w:val="en-US" w:eastAsia="zh-CN"/>
        </w:rPr>
      </w:pPr>
    </w:p>
    <w:tbl>
      <w:tblPr>
        <w:tblStyle w:val="7"/>
        <w:tblW w:w="82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913"/>
        <w:gridCol w:w="2024"/>
        <w:gridCol w:w="1288"/>
        <w:gridCol w:w="20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8250" w:type="dxa"/>
            <w:gridSpan w:val="4"/>
            <w:tcBorders>
              <w:top w:val="single" w:color="auto" w:sz="4" w:space="0"/>
              <w:left w:val="single" w:color="auto" w:sz="4" w:space="0"/>
              <w:bottom w:val="nil"/>
              <w:right w:val="single" w:color="000000" w:sz="4" w:space="0"/>
            </w:tcBorders>
            <w:shd w:val="clear" w:color="auto" w:fill="99CCFF"/>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2913" w:type="dxa"/>
            <w:vMerge w:val="restart"/>
            <w:tcBorders>
              <w:top w:val="single" w:color="auto" w:sz="4" w:space="0"/>
              <w:left w:val="single" w:color="auto" w:sz="4" w:space="0"/>
              <w:bottom w:val="nil"/>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信息内容</w:t>
            </w:r>
          </w:p>
        </w:tc>
        <w:tc>
          <w:tcPr>
            <w:tcW w:w="2024" w:type="dxa"/>
            <w:tcBorders>
              <w:top w:val="single" w:color="auto" w:sz="4" w:space="0"/>
              <w:left w:val="nil"/>
              <w:bottom w:val="nil"/>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SA"/>
              </w:rPr>
              <w:t>本年</w:t>
            </w:r>
            <w:r>
              <w:rPr>
                <w:rFonts w:hint="eastAsia" w:ascii="宋体" w:hAnsi="宋体" w:cs="宋体"/>
                <w:i w:val="0"/>
                <w:color w:val="000000"/>
                <w:kern w:val="0"/>
                <w:sz w:val="21"/>
                <w:szCs w:val="21"/>
                <w:u w:val="none"/>
                <w:lang w:val="en-US" w:eastAsia="zh-CN" w:bidi="ar-SA"/>
              </w:rPr>
              <w:t>制发</w:t>
            </w:r>
          </w:p>
        </w:tc>
        <w:tc>
          <w:tcPr>
            <w:tcW w:w="1288" w:type="dxa"/>
            <w:tcBorders>
              <w:top w:val="single" w:color="auto" w:sz="4" w:space="0"/>
              <w:left w:val="nil"/>
              <w:bottom w:val="nil"/>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本年</w:t>
            </w:r>
            <w:r>
              <w:rPr>
                <w:rFonts w:hint="eastAsia" w:ascii="宋体" w:hAnsi="宋体" w:cs="宋体"/>
                <w:i w:val="0"/>
                <w:color w:val="000000"/>
                <w:kern w:val="0"/>
                <w:sz w:val="21"/>
                <w:szCs w:val="21"/>
                <w:u w:val="none"/>
                <w:lang w:val="en-US" w:eastAsia="zh-CN" w:bidi="ar-SA"/>
              </w:rPr>
              <w:t>废止</w:t>
            </w:r>
          </w:p>
        </w:tc>
        <w:tc>
          <w:tcPr>
            <w:tcW w:w="2025" w:type="dxa"/>
            <w:vMerge w:val="restart"/>
            <w:tcBorders>
              <w:top w:val="single" w:color="auto" w:sz="4" w:space="0"/>
              <w:left w:val="single" w:color="auto" w:sz="4" w:space="0"/>
              <w:bottom w:val="nil"/>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default" w:ascii="宋体" w:hAnsi="宋体" w:eastAsia="宋体" w:cs="宋体"/>
                <w:i w:val="0"/>
                <w:color w:val="000000"/>
                <w:sz w:val="21"/>
                <w:szCs w:val="21"/>
                <w:u w:val="none"/>
                <w:lang w:val="en-US"/>
              </w:rPr>
            </w:pPr>
            <w:r>
              <w:rPr>
                <w:rFonts w:hint="eastAsia" w:ascii="宋体" w:hAnsi="宋体" w:cs="宋体"/>
                <w:i w:val="0"/>
                <w:color w:val="000000"/>
                <w:kern w:val="0"/>
                <w:sz w:val="21"/>
                <w:szCs w:val="21"/>
                <w:u w:val="none"/>
                <w:lang w:val="en-US" w:eastAsia="zh-CN" w:bidi="ar-SA"/>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2913" w:type="dxa"/>
            <w:vMerge w:val="continue"/>
            <w:tcBorders>
              <w:top w:val="single" w:color="auto" w:sz="4" w:space="0"/>
              <w:left w:val="single" w:color="auto" w:sz="4" w:space="0"/>
              <w:bottom w:val="nil"/>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center"/>
              <w:outlineLvl w:val="9"/>
              <w:rPr>
                <w:rFonts w:hint="eastAsia" w:ascii="宋体" w:hAnsi="宋体" w:eastAsia="宋体" w:cs="宋体"/>
                <w:i w:val="0"/>
                <w:color w:val="000000"/>
                <w:sz w:val="21"/>
                <w:szCs w:val="21"/>
                <w:u w:val="none"/>
              </w:rPr>
            </w:pPr>
          </w:p>
        </w:tc>
        <w:tc>
          <w:tcPr>
            <w:tcW w:w="2024" w:type="dxa"/>
            <w:tcBorders>
              <w:top w:val="nil"/>
              <w:left w:val="nil"/>
              <w:bottom w:val="nil"/>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rPr>
            </w:pPr>
            <w:r>
              <w:rPr>
                <w:rFonts w:hint="eastAsia" w:ascii="宋体" w:hAnsi="宋体" w:cs="宋体"/>
                <w:i w:val="0"/>
                <w:color w:val="000000"/>
                <w:kern w:val="0"/>
                <w:sz w:val="21"/>
                <w:szCs w:val="21"/>
                <w:u w:val="none"/>
                <w:lang w:val="en-US" w:eastAsia="zh-CN" w:bidi="ar-SA"/>
              </w:rPr>
              <w:t>件数</w:t>
            </w:r>
          </w:p>
        </w:tc>
        <w:tc>
          <w:tcPr>
            <w:tcW w:w="1288" w:type="dxa"/>
            <w:tcBorders>
              <w:top w:val="nil"/>
              <w:left w:val="nil"/>
              <w:bottom w:val="nil"/>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rPr>
            </w:pPr>
            <w:r>
              <w:rPr>
                <w:rFonts w:hint="eastAsia" w:ascii="宋体" w:hAnsi="宋体" w:cs="宋体"/>
                <w:i w:val="0"/>
                <w:color w:val="000000"/>
                <w:kern w:val="0"/>
                <w:sz w:val="21"/>
                <w:szCs w:val="21"/>
                <w:u w:val="none"/>
                <w:lang w:val="en-US" w:eastAsia="zh-CN" w:bidi="ar-SA"/>
              </w:rPr>
              <w:t>件数</w:t>
            </w:r>
          </w:p>
        </w:tc>
        <w:tc>
          <w:tcPr>
            <w:tcW w:w="2025" w:type="dxa"/>
            <w:vMerge w:val="continue"/>
            <w:tcBorders>
              <w:top w:val="single" w:color="auto" w:sz="4" w:space="0"/>
              <w:left w:val="single" w:color="auto" w:sz="4" w:space="0"/>
              <w:bottom w:val="nil"/>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center"/>
              <w:outlineLvl w:val="9"/>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291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规章</w:t>
            </w:r>
          </w:p>
        </w:tc>
        <w:tc>
          <w:tcPr>
            <w:tcW w:w="2024" w:type="dxa"/>
            <w:tcBorders>
              <w:top w:val="single" w:color="auto" w:sz="4" w:space="0"/>
              <w:left w:val="nil"/>
              <w:bottom w:val="single" w:color="auto" w:sz="4" w:space="0"/>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0</w:t>
            </w:r>
          </w:p>
        </w:tc>
        <w:tc>
          <w:tcPr>
            <w:tcW w:w="1288" w:type="dxa"/>
            <w:tcBorders>
              <w:top w:val="single" w:color="auto" w:sz="4" w:space="0"/>
              <w:left w:val="nil"/>
              <w:bottom w:val="single" w:color="auto" w:sz="4" w:space="0"/>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0</w:t>
            </w:r>
          </w:p>
        </w:tc>
        <w:tc>
          <w:tcPr>
            <w:tcW w:w="2025" w:type="dxa"/>
            <w:tcBorders>
              <w:top w:val="single" w:color="auto" w:sz="4" w:space="0"/>
              <w:left w:val="nil"/>
              <w:bottom w:val="single" w:color="auto" w:sz="4" w:space="0"/>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2913" w:type="dxa"/>
            <w:tcBorders>
              <w:top w:val="nil"/>
              <w:left w:val="single" w:color="auto" w:sz="4" w:space="0"/>
              <w:bottom w:val="single" w:color="auto" w:sz="4" w:space="0"/>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left"/>
              <w:textAlignment w:val="center"/>
              <w:outlineLvl w:val="9"/>
              <w:rPr>
                <w:rFonts w:hint="eastAsia" w:ascii="宋体" w:hAnsi="宋体" w:eastAsia="宋体" w:cs="宋体"/>
                <w:i w:val="0"/>
                <w:color w:val="000000"/>
                <w:sz w:val="21"/>
                <w:szCs w:val="21"/>
                <w:u w:val="none"/>
              </w:rPr>
            </w:pPr>
            <w:r>
              <w:rPr>
                <w:rFonts w:hint="eastAsia" w:ascii="宋体" w:hAnsi="宋体" w:cs="宋体"/>
                <w:i w:val="0"/>
                <w:color w:val="000000"/>
                <w:kern w:val="0"/>
                <w:sz w:val="21"/>
                <w:szCs w:val="21"/>
                <w:u w:val="none"/>
                <w:lang w:val="en-US" w:eastAsia="zh-CN" w:bidi="ar-SA"/>
              </w:rPr>
              <w:t>行政</w:t>
            </w:r>
            <w:r>
              <w:rPr>
                <w:rFonts w:hint="eastAsia" w:ascii="宋体" w:hAnsi="宋体" w:eastAsia="宋体" w:cs="宋体"/>
                <w:i w:val="0"/>
                <w:color w:val="000000"/>
                <w:kern w:val="0"/>
                <w:sz w:val="21"/>
                <w:szCs w:val="21"/>
                <w:u w:val="none"/>
                <w:lang w:val="en-US" w:eastAsia="zh-CN" w:bidi="ar-SA"/>
              </w:rPr>
              <w:t>规范性文件</w:t>
            </w:r>
          </w:p>
        </w:tc>
        <w:tc>
          <w:tcPr>
            <w:tcW w:w="2024" w:type="dxa"/>
            <w:tcBorders>
              <w:top w:val="nil"/>
              <w:left w:val="nil"/>
              <w:bottom w:val="single" w:color="auto" w:sz="4" w:space="0"/>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0</w:t>
            </w:r>
          </w:p>
        </w:tc>
        <w:tc>
          <w:tcPr>
            <w:tcW w:w="1288" w:type="dxa"/>
            <w:tcBorders>
              <w:top w:val="nil"/>
              <w:left w:val="nil"/>
              <w:bottom w:val="single" w:color="auto" w:sz="4" w:space="0"/>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0</w:t>
            </w:r>
          </w:p>
        </w:tc>
        <w:tc>
          <w:tcPr>
            <w:tcW w:w="2025" w:type="dxa"/>
            <w:tcBorders>
              <w:top w:val="nil"/>
              <w:left w:val="nil"/>
              <w:bottom w:val="single" w:color="auto" w:sz="4" w:space="0"/>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default"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8250" w:type="dxa"/>
            <w:gridSpan w:val="4"/>
            <w:tcBorders>
              <w:top w:val="single" w:color="auto" w:sz="4" w:space="0"/>
              <w:left w:val="single" w:color="auto" w:sz="4" w:space="0"/>
              <w:bottom w:val="single" w:color="auto" w:sz="4" w:space="0"/>
              <w:right w:val="single" w:color="000000" w:sz="4" w:space="0"/>
            </w:tcBorders>
            <w:shd w:val="clear" w:color="auto" w:fill="99CCFF"/>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2913" w:type="dxa"/>
            <w:tcBorders>
              <w:top w:val="nil"/>
              <w:left w:val="single" w:color="auto" w:sz="4" w:space="0"/>
              <w:bottom w:val="nil"/>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信息内容</w:t>
            </w:r>
          </w:p>
        </w:tc>
        <w:tc>
          <w:tcPr>
            <w:tcW w:w="5337" w:type="dxa"/>
            <w:gridSpan w:val="3"/>
            <w:tcBorders>
              <w:top w:val="nil"/>
              <w:left w:val="nil"/>
              <w:bottom w:val="nil"/>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rPr>
            </w:pPr>
            <w:r>
              <w:rPr>
                <w:rFonts w:hint="eastAsia" w:ascii="宋体" w:hAnsi="宋体" w:cs="宋体"/>
                <w:i w:val="0"/>
                <w:color w:val="000000"/>
                <w:kern w:val="0"/>
                <w:sz w:val="21"/>
                <w:szCs w:val="21"/>
                <w:u w:val="none"/>
                <w:lang w:val="en-US" w:eastAsia="zh-CN" w:bidi="ar-SA"/>
              </w:rPr>
              <w:t>本年</w:t>
            </w:r>
            <w:r>
              <w:rPr>
                <w:rFonts w:hint="eastAsia" w:ascii="宋体" w:hAnsi="宋体" w:eastAsia="宋体" w:cs="宋体"/>
                <w:i w:val="0"/>
                <w:color w:val="000000"/>
                <w:kern w:val="0"/>
                <w:sz w:val="21"/>
                <w:szCs w:val="21"/>
                <w:u w:val="none"/>
                <w:lang w:val="en-US" w:eastAsia="zh-CN" w:bidi="ar-SA"/>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291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行政许可</w:t>
            </w:r>
          </w:p>
        </w:tc>
        <w:tc>
          <w:tcPr>
            <w:tcW w:w="5337" w:type="dxa"/>
            <w:gridSpan w:val="3"/>
            <w:tcBorders>
              <w:top w:val="single" w:color="auto" w:sz="4" w:space="0"/>
              <w:left w:val="nil"/>
              <w:bottom w:val="single" w:color="auto" w:sz="4" w:space="0"/>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default"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8250" w:type="dxa"/>
            <w:gridSpan w:val="4"/>
            <w:tcBorders>
              <w:top w:val="single" w:color="auto" w:sz="4" w:space="0"/>
              <w:left w:val="single" w:color="auto" w:sz="4" w:space="0"/>
              <w:bottom w:val="single" w:color="auto" w:sz="4" w:space="0"/>
              <w:right w:val="single" w:color="auto" w:sz="4" w:space="0"/>
            </w:tcBorders>
            <w:shd w:val="clear" w:color="auto" w:fill="99CCFF"/>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2913" w:type="dxa"/>
            <w:tcBorders>
              <w:top w:val="nil"/>
              <w:left w:val="single" w:color="auto" w:sz="4" w:space="0"/>
              <w:bottom w:val="single" w:color="auto" w:sz="4" w:space="0"/>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信息内容</w:t>
            </w:r>
          </w:p>
        </w:tc>
        <w:tc>
          <w:tcPr>
            <w:tcW w:w="5337" w:type="dxa"/>
            <w:gridSpan w:val="3"/>
            <w:tcBorders>
              <w:top w:val="nil"/>
              <w:left w:val="nil"/>
              <w:bottom w:val="single" w:color="auto" w:sz="4" w:space="0"/>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rPr>
            </w:pPr>
            <w:r>
              <w:rPr>
                <w:rFonts w:hint="eastAsia" w:ascii="宋体" w:hAnsi="宋体" w:cs="宋体"/>
                <w:i w:val="0"/>
                <w:color w:val="000000"/>
                <w:kern w:val="0"/>
                <w:sz w:val="21"/>
                <w:szCs w:val="21"/>
                <w:u w:val="none"/>
                <w:lang w:val="en-US" w:eastAsia="zh-CN" w:bidi="ar-SA"/>
              </w:rPr>
              <w:t>本年</w:t>
            </w:r>
            <w:r>
              <w:rPr>
                <w:rFonts w:hint="eastAsia" w:ascii="宋体" w:hAnsi="宋体" w:eastAsia="宋体" w:cs="宋体"/>
                <w:i w:val="0"/>
                <w:color w:val="000000"/>
                <w:kern w:val="0"/>
                <w:sz w:val="21"/>
                <w:szCs w:val="21"/>
                <w:u w:val="none"/>
                <w:lang w:val="en-US" w:eastAsia="zh-CN" w:bidi="ar-SA"/>
              </w:rP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2913" w:type="dxa"/>
            <w:tcBorders>
              <w:top w:val="nil"/>
              <w:left w:val="single" w:color="auto" w:sz="4" w:space="0"/>
              <w:bottom w:val="single" w:color="auto" w:sz="4" w:space="0"/>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行政处罚</w:t>
            </w:r>
          </w:p>
        </w:tc>
        <w:tc>
          <w:tcPr>
            <w:tcW w:w="5337" w:type="dxa"/>
            <w:gridSpan w:val="3"/>
            <w:tcBorders>
              <w:top w:val="nil"/>
              <w:left w:val="nil"/>
              <w:bottom w:val="single" w:color="auto" w:sz="4" w:space="0"/>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default" w:ascii="宋体" w:hAnsi="宋体" w:eastAsia="宋体" w:cs="宋体"/>
                <w:i w:val="0"/>
                <w:color w:val="000000"/>
                <w:sz w:val="21"/>
                <w:szCs w:val="21"/>
                <w:highlight w:val="none"/>
                <w:u w:val="none"/>
                <w:lang w:val="en-US" w:eastAsia="zh-CN"/>
              </w:rPr>
            </w:pPr>
            <w:r>
              <w:rPr>
                <w:rFonts w:hint="eastAsia" w:ascii="宋体" w:hAnsi="宋体" w:cs="宋体"/>
                <w:i w:val="0"/>
                <w:color w:val="000000"/>
                <w:sz w:val="21"/>
                <w:szCs w:val="21"/>
                <w:highlight w:val="none"/>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2913" w:type="dxa"/>
            <w:tcBorders>
              <w:top w:val="nil"/>
              <w:left w:val="single" w:color="auto" w:sz="4" w:space="0"/>
              <w:bottom w:val="single" w:color="auto" w:sz="4" w:space="0"/>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行政强制</w:t>
            </w:r>
          </w:p>
        </w:tc>
        <w:tc>
          <w:tcPr>
            <w:tcW w:w="5337" w:type="dxa"/>
            <w:gridSpan w:val="3"/>
            <w:tcBorders>
              <w:top w:val="nil"/>
              <w:left w:val="nil"/>
              <w:bottom w:val="single" w:color="auto" w:sz="4" w:space="0"/>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highlight w:val="none"/>
                <w:u w:val="none"/>
                <w:lang w:val="en-US" w:eastAsia="zh-CN"/>
              </w:rPr>
            </w:pPr>
            <w:r>
              <w:rPr>
                <w:rFonts w:hint="eastAsia" w:ascii="宋体" w:hAnsi="宋体" w:cs="宋体"/>
                <w:i w:val="0"/>
                <w:color w:val="000000"/>
                <w:sz w:val="21"/>
                <w:szCs w:val="21"/>
                <w:highlight w:val="none"/>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8250" w:type="dxa"/>
            <w:gridSpan w:val="4"/>
            <w:tcBorders>
              <w:top w:val="single" w:color="auto" w:sz="4" w:space="0"/>
              <w:left w:val="single" w:color="auto" w:sz="4" w:space="0"/>
              <w:bottom w:val="nil"/>
              <w:right w:val="single" w:color="000000" w:sz="4" w:space="0"/>
            </w:tcBorders>
            <w:shd w:val="clear" w:color="auto" w:fill="99CCFF"/>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2913"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信息内容</w:t>
            </w:r>
          </w:p>
        </w:tc>
        <w:tc>
          <w:tcPr>
            <w:tcW w:w="5337" w:type="dxa"/>
            <w:gridSpan w:val="3"/>
            <w:tcBorders>
              <w:top w:val="single" w:color="auto" w:sz="4" w:space="0"/>
              <w:left w:val="nil"/>
              <w:bottom w:val="single" w:color="auto" w:sz="4" w:space="0"/>
              <w:right w:val="single" w:color="000000"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default" w:ascii="宋体" w:hAnsi="宋体" w:eastAsia="宋体" w:cs="宋体"/>
                <w:i w:val="0"/>
                <w:color w:val="000000"/>
                <w:sz w:val="21"/>
                <w:szCs w:val="21"/>
                <w:u w:val="none"/>
                <w:lang w:val="en-US"/>
              </w:rPr>
            </w:pPr>
            <w:r>
              <w:rPr>
                <w:rFonts w:hint="eastAsia" w:ascii="宋体" w:hAnsi="宋体" w:cs="宋体"/>
                <w:i w:val="0"/>
                <w:color w:val="000000"/>
                <w:kern w:val="0"/>
                <w:sz w:val="21"/>
                <w:szCs w:val="21"/>
                <w:u w:val="none"/>
                <w:lang w:val="en-US" w:eastAsia="zh-CN" w:bidi="ar-SA"/>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jc w:val="center"/>
        </w:trPr>
        <w:tc>
          <w:tcPr>
            <w:tcW w:w="2913" w:type="dxa"/>
            <w:tcBorders>
              <w:top w:val="nil"/>
              <w:left w:val="single" w:color="auto" w:sz="4" w:space="0"/>
              <w:bottom w:val="single" w:color="auto" w:sz="4" w:space="0"/>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lef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行政事业性收费</w:t>
            </w:r>
          </w:p>
        </w:tc>
        <w:tc>
          <w:tcPr>
            <w:tcW w:w="5337" w:type="dxa"/>
            <w:gridSpan w:val="3"/>
            <w:tcBorders>
              <w:top w:val="nil"/>
              <w:left w:val="nil"/>
              <w:bottom w:val="single" w:color="auto" w:sz="4" w:space="0"/>
              <w:right w:val="single" w:color="auto" w:sz="4" w:space="0"/>
            </w:tcBorders>
            <w:tcMar>
              <w:top w:w="15" w:type="dxa"/>
              <w:left w:w="15" w:type="dxa"/>
              <w:right w:w="15" w:type="dxa"/>
            </w:tcMar>
            <w:vAlign w:val="center"/>
          </w:tcPr>
          <w:p>
            <w:pPr>
              <w:widowControl/>
              <w:wordWrap/>
              <w:adjustRightInd/>
              <w:snapToGrid/>
              <w:spacing w:before="0" w:beforeAutospacing="0" w:after="0" w:afterAutospacing="0" w:line="240" w:lineRule="auto"/>
              <w:ind w:left="0" w:leftChars="0" w:right="0" w:firstLine="0" w:firstLineChars="0"/>
              <w:jc w:val="center"/>
              <w:textAlignment w:val="center"/>
              <w:outlineLvl w:val="9"/>
              <w:rPr>
                <w:rFonts w:hint="default"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208.30</w:t>
            </w:r>
          </w:p>
        </w:tc>
      </w:tr>
    </w:tbl>
    <w:p>
      <w:pPr>
        <w:keepNext w:val="0"/>
        <w:keepLines w:val="0"/>
        <w:pageBreakBefore w:val="0"/>
        <w:widowControl/>
        <w:numPr>
          <w:ilvl w:val="0"/>
          <w:numId w:val="0"/>
        </w:numPr>
        <w:kinsoku/>
        <w:wordWrap/>
        <w:overflowPunct/>
        <w:topLinePunct w:val="0"/>
        <w:autoSpaceDE/>
        <w:autoSpaceDN/>
        <w:bidi w:val="0"/>
        <w:adjustRightInd w:val="0"/>
        <w:snapToGrid w:val="0"/>
        <w:spacing w:before="75" w:beforeAutospacing="0" w:after="75" w:afterAutospacing="0" w:line="640" w:lineRule="exact"/>
        <w:ind w:leftChars="225" w:right="0" w:rightChars="0"/>
        <w:jc w:val="left"/>
        <w:textAlignment w:val="auto"/>
        <w:rPr>
          <w:rFonts w:hint="eastAsia" w:ascii="黑体" w:hAnsi="黑体" w:eastAsia="黑体" w:cs="黑体"/>
          <w:b w:val="0"/>
          <w:bCs w:val="0"/>
          <w:i w:val="0"/>
          <w:caps w:val="0"/>
          <w:color w:val="000000"/>
          <w:spacing w:val="0"/>
          <w:kern w:val="0"/>
          <w:sz w:val="32"/>
          <w:szCs w:val="32"/>
          <w:lang w:val="en-US" w:eastAsia="zh-CN"/>
        </w:rPr>
      </w:pPr>
    </w:p>
    <w:p>
      <w:pPr>
        <w:keepNext w:val="0"/>
        <w:keepLines w:val="0"/>
        <w:pageBreakBefore w:val="0"/>
        <w:widowControl/>
        <w:numPr>
          <w:ilvl w:val="0"/>
          <w:numId w:val="1"/>
        </w:numPr>
        <w:kinsoku/>
        <w:wordWrap/>
        <w:overflowPunct/>
        <w:topLinePunct w:val="0"/>
        <w:autoSpaceDE/>
        <w:autoSpaceDN/>
        <w:bidi w:val="0"/>
        <w:adjustRightInd w:val="0"/>
        <w:snapToGrid w:val="0"/>
        <w:spacing w:before="75" w:beforeAutospacing="0" w:after="75" w:afterAutospacing="0" w:line="640" w:lineRule="exact"/>
        <w:ind w:left="0" w:leftChars="0" w:right="0" w:firstLine="720" w:firstLineChars="225"/>
        <w:jc w:val="left"/>
        <w:textAlignment w:val="auto"/>
        <w:rPr>
          <w:rFonts w:hint="eastAsia" w:ascii="黑体" w:hAnsi="黑体" w:eastAsia="黑体" w:cs="黑体"/>
          <w:b w:val="0"/>
          <w:bCs w:val="0"/>
          <w:i w:val="0"/>
          <w:caps w:val="0"/>
          <w:color w:val="000000"/>
          <w:spacing w:val="0"/>
          <w:kern w:val="0"/>
          <w:sz w:val="32"/>
          <w:szCs w:val="32"/>
          <w:lang w:val="en-US" w:eastAsia="zh-CN"/>
        </w:rPr>
      </w:pPr>
      <w:r>
        <w:rPr>
          <w:rFonts w:hint="eastAsia" w:ascii="黑体" w:hAnsi="黑体" w:eastAsia="黑体" w:cs="黑体"/>
          <w:b w:val="0"/>
          <w:bCs w:val="0"/>
          <w:i w:val="0"/>
          <w:caps w:val="0"/>
          <w:color w:val="000000"/>
          <w:spacing w:val="0"/>
          <w:kern w:val="0"/>
          <w:sz w:val="32"/>
          <w:szCs w:val="32"/>
          <w:lang w:val="en-US" w:eastAsia="zh-CN"/>
        </w:rPr>
        <w:t>收到和处理政府信息公开申请的情况</w:t>
      </w:r>
    </w:p>
    <w:tbl>
      <w:tblPr>
        <w:tblStyle w:val="7"/>
        <w:tblW w:w="82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30"/>
        <w:gridCol w:w="982"/>
        <w:gridCol w:w="2127"/>
        <w:gridCol w:w="737"/>
        <w:gridCol w:w="614"/>
        <w:gridCol w:w="614"/>
        <w:gridCol w:w="614"/>
        <w:gridCol w:w="615"/>
        <w:gridCol w:w="615"/>
        <w:gridCol w:w="6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3" w:hRule="atLeast"/>
          <w:jc w:val="center"/>
        </w:trPr>
        <w:tc>
          <w:tcPr>
            <w:tcW w:w="3839" w:type="dxa"/>
            <w:gridSpan w:val="3"/>
            <w:vMerge w:val="restart"/>
            <w:tcBorders>
              <w:tl2br w:val="nil"/>
              <w:tr2bl w:val="nil"/>
            </w:tcBorders>
            <w:tcMar>
              <w:top w:w="15" w:type="dxa"/>
              <w:left w:w="15" w:type="dxa"/>
              <w:right w:w="15" w:type="dxa"/>
            </w:tcMar>
            <w:vAlign w:val="center"/>
          </w:tcPr>
          <w:p>
            <w:pPr>
              <w:keepNext w:val="0"/>
              <w:keepLines w:val="0"/>
              <w:widowControl/>
              <w:suppressLineNumbers w:val="0"/>
              <w:spacing w:before="0" w:beforeAutospacing="0" w:after="0" w:afterAutospacing="0"/>
              <w:ind w:left="0" w:right="571" w:rightChars="272"/>
              <w:jc w:val="left"/>
              <w:textAlignment w:val="center"/>
              <w:rPr>
                <w:rFonts w:hint="eastAsia" w:ascii="宋体" w:hAnsi="宋体" w:eastAsia="宋体" w:cs="宋体"/>
                <w:i w:val="0"/>
                <w:color w:val="000000"/>
                <w:sz w:val="21"/>
                <w:szCs w:val="21"/>
                <w:u w:val="none"/>
              </w:rPr>
            </w:pPr>
            <w:r>
              <w:rPr>
                <w:rFonts w:hint="eastAsia" w:ascii="楷体" w:hAnsi="楷体" w:eastAsia="楷体" w:cs="楷体"/>
                <w:i w:val="0"/>
                <w:iCs w:val="0"/>
                <w:color w:val="000000"/>
                <w:kern w:val="0"/>
                <w:sz w:val="19"/>
                <w:szCs w:val="19"/>
                <w:u w:val="none"/>
                <w:lang w:val="en-US" w:eastAsia="zh-CN" w:bidi="ar"/>
              </w:rPr>
              <w:t>（本列数据的勾稽关系为：第一项加第二项之和，等于第三项加第四项之和）</w:t>
            </w:r>
          </w:p>
        </w:tc>
        <w:tc>
          <w:tcPr>
            <w:tcW w:w="4424" w:type="dxa"/>
            <w:gridSpan w:val="7"/>
            <w:tcBorders>
              <w:tl2br w:val="nil"/>
              <w:tr2bl w:val="nil"/>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8" w:hRule="atLeast"/>
          <w:jc w:val="center"/>
        </w:trPr>
        <w:tc>
          <w:tcPr>
            <w:tcW w:w="3839" w:type="dxa"/>
            <w:gridSpan w:val="3"/>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737" w:type="dxa"/>
            <w:vMerge w:val="restart"/>
            <w:tcBorders>
              <w:tl2br w:val="nil"/>
              <w:tr2bl w:val="nil"/>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自然人</w:t>
            </w:r>
          </w:p>
        </w:tc>
        <w:tc>
          <w:tcPr>
            <w:tcW w:w="3072" w:type="dxa"/>
            <w:gridSpan w:val="5"/>
            <w:tcBorders>
              <w:tl2br w:val="nil"/>
              <w:tr2bl w:val="nil"/>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法人或其他组织</w:t>
            </w:r>
          </w:p>
        </w:tc>
        <w:tc>
          <w:tcPr>
            <w:tcW w:w="615" w:type="dxa"/>
            <w:vMerge w:val="restart"/>
            <w:tcBorders>
              <w:tl2br w:val="nil"/>
              <w:tr2bl w:val="nil"/>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0" w:hRule="atLeast"/>
          <w:jc w:val="center"/>
        </w:trPr>
        <w:tc>
          <w:tcPr>
            <w:tcW w:w="3839" w:type="dxa"/>
            <w:gridSpan w:val="3"/>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737" w:type="dxa"/>
            <w:vMerge w:val="continue"/>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p>
        </w:tc>
        <w:tc>
          <w:tcPr>
            <w:tcW w:w="614" w:type="dxa"/>
            <w:tcBorders>
              <w:tl2br w:val="nil"/>
              <w:tr2bl w:val="nil"/>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商业</w:t>
            </w:r>
          </w:p>
        </w:tc>
        <w:tc>
          <w:tcPr>
            <w:tcW w:w="614" w:type="dxa"/>
            <w:tcBorders>
              <w:tl2br w:val="nil"/>
              <w:tr2bl w:val="nil"/>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科研</w:t>
            </w:r>
          </w:p>
        </w:tc>
        <w:tc>
          <w:tcPr>
            <w:tcW w:w="614" w:type="dxa"/>
            <w:vMerge w:val="restart"/>
            <w:tcBorders>
              <w:tl2br w:val="nil"/>
              <w:tr2bl w:val="nil"/>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社会公益组织</w:t>
            </w:r>
          </w:p>
        </w:tc>
        <w:tc>
          <w:tcPr>
            <w:tcW w:w="615" w:type="dxa"/>
            <w:vMerge w:val="restart"/>
            <w:tcBorders>
              <w:tl2br w:val="nil"/>
              <w:tr2bl w:val="nil"/>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法律服务机构</w:t>
            </w:r>
          </w:p>
        </w:tc>
        <w:tc>
          <w:tcPr>
            <w:tcW w:w="615" w:type="dxa"/>
            <w:vMerge w:val="restart"/>
            <w:tcBorders>
              <w:tl2br w:val="nil"/>
              <w:tr2bl w:val="nil"/>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其他</w:t>
            </w:r>
          </w:p>
        </w:tc>
        <w:tc>
          <w:tcPr>
            <w:tcW w:w="615" w:type="dxa"/>
            <w:vMerge w:val="continue"/>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7" w:hRule="atLeast"/>
          <w:jc w:val="center"/>
        </w:trPr>
        <w:tc>
          <w:tcPr>
            <w:tcW w:w="3839" w:type="dxa"/>
            <w:gridSpan w:val="3"/>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737" w:type="dxa"/>
            <w:vMerge w:val="continue"/>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p>
        </w:tc>
        <w:tc>
          <w:tcPr>
            <w:tcW w:w="614" w:type="dxa"/>
            <w:tcBorders>
              <w:tl2br w:val="nil"/>
              <w:tr2bl w:val="nil"/>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企业</w:t>
            </w:r>
          </w:p>
        </w:tc>
        <w:tc>
          <w:tcPr>
            <w:tcW w:w="614" w:type="dxa"/>
            <w:tcBorders>
              <w:tl2br w:val="nil"/>
              <w:tr2bl w:val="nil"/>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机构</w:t>
            </w:r>
          </w:p>
        </w:tc>
        <w:tc>
          <w:tcPr>
            <w:tcW w:w="614" w:type="dxa"/>
            <w:vMerge w:val="continue"/>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p>
        </w:tc>
        <w:tc>
          <w:tcPr>
            <w:tcW w:w="615" w:type="dxa"/>
            <w:vMerge w:val="continue"/>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p>
        </w:tc>
        <w:tc>
          <w:tcPr>
            <w:tcW w:w="615" w:type="dxa"/>
            <w:vMerge w:val="continue"/>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p>
        </w:tc>
        <w:tc>
          <w:tcPr>
            <w:tcW w:w="615" w:type="dxa"/>
            <w:vMerge w:val="continue"/>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839" w:type="dxa"/>
            <w:gridSpan w:val="3"/>
            <w:tcBorders>
              <w:tl2br w:val="nil"/>
              <w:tr2bl w:val="nil"/>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一、本年新收政府信息公开申请数量</w:t>
            </w:r>
          </w:p>
        </w:tc>
        <w:tc>
          <w:tcPr>
            <w:tcW w:w="737"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3</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1</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839" w:type="dxa"/>
            <w:gridSpan w:val="3"/>
            <w:tcBorders>
              <w:tl2br w:val="nil"/>
              <w:tr2bl w:val="nil"/>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b/>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二、上年结转政府信息公开申请数量</w:t>
            </w:r>
          </w:p>
        </w:tc>
        <w:tc>
          <w:tcPr>
            <w:tcW w:w="737"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restart"/>
            <w:tcBorders>
              <w:tl2br w:val="nil"/>
              <w:tr2bl w:val="nil"/>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三、本年度办理结果</w:t>
            </w:r>
          </w:p>
        </w:tc>
        <w:tc>
          <w:tcPr>
            <w:tcW w:w="3109" w:type="dxa"/>
            <w:gridSpan w:val="2"/>
            <w:tcBorders>
              <w:tl2br w:val="nil"/>
              <w:tr2bl w:val="nil"/>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（一）予以公开</w:t>
            </w:r>
          </w:p>
        </w:tc>
        <w:tc>
          <w:tcPr>
            <w:tcW w:w="737"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3</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1</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3109" w:type="dxa"/>
            <w:gridSpan w:val="2"/>
            <w:tcBorders>
              <w:tl2br w:val="nil"/>
              <w:tr2bl w:val="nil"/>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（二）部分公开</w:t>
            </w:r>
            <w:r>
              <w:rPr>
                <w:rStyle w:val="12"/>
                <w:lang w:val="en-US" w:eastAsia="zh-CN" w:bidi="ar"/>
              </w:rPr>
              <w:t>（区分处理的，只计这一情形，不计其他情形）</w:t>
            </w:r>
          </w:p>
        </w:tc>
        <w:tc>
          <w:tcPr>
            <w:tcW w:w="737"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982" w:type="dxa"/>
            <w:vMerge w:val="restart"/>
            <w:tcBorders>
              <w:tl2br w:val="nil"/>
              <w:tr2bl w:val="nil"/>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（三）不予公开</w:t>
            </w:r>
          </w:p>
        </w:tc>
        <w:tc>
          <w:tcPr>
            <w:tcW w:w="2127" w:type="dxa"/>
            <w:tcBorders>
              <w:tl2br w:val="nil"/>
              <w:tr2bl w:val="nil"/>
            </w:tcBorders>
            <w:tcMar>
              <w:top w:w="15" w:type="dxa"/>
              <w:left w:w="15" w:type="dxa"/>
              <w:right w:w="15" w:type="dxa"/>
            </w:tcMar>
            <w:vAlign w:val="top"/>
          </w:tcPr>
          <w:p>
            <w:pPr>
              <w:keepNext w:val="0"/>
              <w:keepLines w:val="0"/>
              <w:widowControl/>
              <w:suppressLineNumbers w:val="0"/>
              <w:spacing w:before="0" w:beforeAutospacing="0" w:after="0" w:afterAutospacing="0"/>
              <w:ind w:left="0" w:right="0"/>
              <w:jc w:val="left"/>
              <w:textAlignment w:val="top"/>
              <w:rPr>
                <w:rFonts w:hint="default"/>
              </w:rPr>
            </w:pPr>
            <w:r>
              <w:rPr>
                <w:rFonts w:hint="eastAsia" w:ascii="宋体" w:hAnsi="宋体" w:eastAsia="宋体" w:cs="宋体"/>
                <w:i w:val="0"/>
                <w:iCs w:val="0"/>
                <w:color w:val="000000"/>
                <w:kern w:val="0"/>
                <w:sz w:val="19"/>
                <w:szCs w:val="19"/>
                <w:u w:val="none"/>
                <w:lang w:val="en-US" w:eastAsia="zh-CN" w:bidi="ar"/>
              </w:rPr>
              <w:t>1.属于国家秘密</w:t>
            </w:r>
          </w:p>
        </w:tc>
        <w:tc>
          <w:tcPr>
            <w:tcW w:w="737"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top"/>
          </w:tcPr>
          <w:p>
            <w:pPr>
              <w:keepNext w:val="0"/>
              <w:keepLines w:val="0"/>
              <w:widowControl/>
              <w:suppressLineNumbers w:val="0"/>
              <w:spacing w:before="0" w:beforeAutospacing="0" w:after="0" w:afterAutospacing="0"/>
              <w:ind w:left="0" w:right="0"/>
              <w:jc w:val="left"/>
              <w:textAlignment w:val="top"/>
              <w:rPr>
                <w:rFonts w:hint="default"/>
              </w:rPr>
            </w:pPr>
            <w:r>
              <w:rPr>
                <w:rFonts w:hint="eastAsia" w:ascii="宋体" w:hAnsi="宋体" w:eastAsia="宋体" w:cs="宋体"/>
                <w:i w:val="0"/>
                <w:iCs w:val="0"/>
                <w:color w:val="000000"/>
                <w:kern w:val="0"/>
                <w:sz w:val="19"/>
                <w:szCs w:val="19"/>
                <w:u w:val="none"/>
                <w:lang w:val="en-US" w:eastAsia="zh-CN" w:bidi="ar"/>
              </w:rPr>
              <w:t>2.其他法律行政法规禁止公开</w:t>
            </w:r>
          </w:p>
        </w:tc>
        <w:tc>
          <w:tcPr>
            <w:tcW w:w="737"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top"/>
          </w:tcPr>
          <w:p>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3.危及“三安全一稳定”</w:t>
            </w:r>
          </w:p>
        </w:tc>
        <w:tc>
          <w:tcPr>
            <w:tcW w:w="737"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top"/>
          </w:tcPr>
          <w:p>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4.保护第三方合法权益</w:t>
            </w:r>
          </w:p>
        </w:tc>
        <w:tc>
          <w:tcPr>
            <w:tcW w:w="737"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top"/>
          </w:tcPr>
          <w:p>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5.属于三类内部事务信息</w:t>
            </w:r>
          </w:p>
        </w:tc>
        <w:tc>
          <w:tcPr>
            <w:tcW w:w="737"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top"/>
          </w:tcPr>
          <w:p>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6.属于四类过程性信息</w:t>
            </w:r>
          </w:p>
        </w:tc>
        <w:tc>
          <w:tcPr>
            <w:tcW w:w="737"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top"/>
          </w:tcPr>
          <w:p>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7.属于行政执法案卷</w:t>
            </w:r>
          </w:p>
        </w:tc>
        <w:tc>
          <w:tcPr>
            <w:tcW w:w="737"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top"/>
          </w:tcPr>
          <w:p>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8.属于行政查询事项</w:t>
            </w:r>
          </w:p>
        </w:tc>
        <w:tc>
          <w:tcPr>
            <w:tcW w:w="737"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982" w:type="dxa"/>
            <w:vMerge w:val="restart"/>
            <w:tcBorders>
              <w:tl2br w:val="nil"/>
              <w:tr2bl w:val="nil"/>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（四）无法提供</w:t>
            </w:r>
          </w:p>
        </w:tc>
        <w:tc>
          <w:tcPr>
            <w:tcW w:w="2127" w:type="dxa"/>
            <w:tcBorders>
              <w:tl2br w:val="nil"/>
              <w:tr2bl w:val="nil"/>
            </w:tcBorders>
            <w:tcMar>
              <w:top w:w="15" w:type="dxa"/>
              <w:left w:w="15" w:type="dxa"/>
              <w:right w:w="15" w:type="dxa"/>
            </w:tcMar>
            <w:vAlign w:val="top"/>
          </w:tcPr>
          <w:p>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1.本机关不掌握相关政府信息</w:t>
            </w:r>
          </w:p>
        </w:tc>
        <w:tc>
          <w:tcPr>
            <w:tcW w:w="737"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top"/>
          </w:tcPr>
          <w:p>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2.没有现成信息需要另行制作</w:t>
            </w:r>
          </w:p>
        </w:tc>
        <w:tc>
          <w:tcPr>
            <w:tcW w:w="737"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top"/>
          </w:tcPr>
          <w:p>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3.补正后申请内容仍不明确</w:t>
            </w:r>
          </w:p>
        </w:tc>
        <w:tc>
          <w:tcPr>
            <w:tcW w:w="737"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982" w:type="dxa"/>
            <w:vMerge w:val="restart"/>
            <w:tcBorders>
              <w:tl2br w:val="nil"/>
              <w:tr2bl w:val="nil"/>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（五）不予处理</w:t>
            </w:r>
          </w:p>
        </w:tc>
        <w:tc>
          <w:tcPr>
            <w:tcW w:w="2127" w:type="dxa"/>
            <w:tcBorders>
              <w:tl2br w:val="nil"/>
              <w:tr2bl w:val="nil"/>
            </w:tcBorders>
            <w:tcMar>
              <w:top w:w="15" w:type="dxa"/>
              <w:left w:w="15" w:type="dxa"/>
              <w:right w:w="15" w:type="dxa"/>
            </w:tcMar>
            <w:vAlign w:val="top"/>
          </w:tcPr>
          <w:p>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1.信访举报投诉类申请</w:t>
            </w:r>
          </w:p>
        </w:tc>
        <w:tc>
          <w:tcPr>
            <w:tcW w:w="737"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top"/>
          </w:tcPr>
          <w:p>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2.重复申请</w:t>
            </w:r>
          </w:p>
        </w:tc>
        <w:tc>
          <w:tcPr>
            <w:tcW w:w="737"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top"/>
          </w:tcPr>
          <w:p>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3.要求提供公开出版物</w:t>
            </w:r>
          </w:p>
        </w:tc>
        <w:tc>
          <w:tcPr>
            <w:tcW w:w="737"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b/>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top"/>
          </w:tcPr>
          <w:p>
            <w:pPr>
              <w:keepNext w:val="0"/>
              <w:keepLines w:val="0"/>
              <w:widowControl/>
              <w:suppressLineNumbers w:val="0"/>
              <w:spacing w:before="0" w:beforeAutospacing="0" w:after="0" w:afterAutospacing="0"/>
              <w:ind w:left="0" w:right="0"/>
              <w:jc w:val="left"/>
              <w:textAlignment w:val="top"/>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4.无正当理由大量反复申请</w:t>
            </w:r>
          </w:p>
        </w:tc>
        <w:tc>
          <w:tcPr>
            <w:tcW w:w="737"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b/>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5.要求行政机关确认或重新出具已获取信息</w:t>
            </w:r>
          </w:p>
        </w:tc>
        <w:tc>
          <w:tcPr>
            <w:tcW w:w="737"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b/>
                <w:i w:val="0"/>
                <w:color w:val="000000"/>
                <w:sz w:val="21"/>
                <w:szCs w:val="21"/>
                <w:u w:val="none"/>
              </w:rPr>
            </w:pPr>
          </w:p>
        </w:tc>
        <w:tc>
          <w:tcPr>
            <w:tcW w:w="982" w:type="dxa"/>
            <w:vMerge w:val="restart"/>
            <w:tcBorders>
              <w:tl2br w:val="nil"/>
              <w:tr2bl w:val="nil"/>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（六）其他处理</w:t>
            </w:r>
          </w:p>
        </w:tc>
        <w:tc>
          <w:tcPr>
            <w:tcW w:w="2127" w:type="dxa"/>
            <w:tcBorders>
              <w:tl2br w:val="nil"/>
              <w:tr2bl w:val="nil"/>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1.申请人无正当理由逾期不补正、行政机关不再处理其政府信息公开申请</w:t>
            </w:r>
          </w:p>
        </w:tc>
        <w:tc>
          <w:tcPr>
            <w:tcW w:w="737"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b/>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2.申请人逾期未按收费通知要求缴纳费用、行政机关不再处理其政府信息公开申请</w:t>
            </w:r>
          </w:p>
        </w:tc>
        <w:tc>
          <w:tcPr>
            <w:tcW w:w="737"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b/>
                <w:i w:val="0"/>
                <w:color w:val="000000"/>
                <w:sz w:val="21"/>
                <w:szCs w:val="21"/>
                <w:u w:val="none"/>
              </w:rPr>
            </w:pPr>
          </w:p>
        </w:tc>
        <w:tc>
          <w:tcPr>
            <w:tcW w:w="982"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2127" w:type="dxa"/>
            <w:tcBorders>
              <w:tl2br w:val="nil"/>
              <w:tr2bl w:val="nil"/>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3.其他</w:t>
            </w:r>
          </w:p>
        </w:tc>
        <w:tc>
          <w:tcPr>
            <w:tcW w:w="737"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30" w:type="dxa"/>
            <w:vMerge w:val="continue"/>
            <w:tcBorders>
              <w:tl2br w:val="nil"/>
              <w:tr2bl w:val="nil"/>
            </w:tcBorders>
            <w:tcMar>
              <w:top w:w="15" w:type="dxa"/>
              <w:left w:w="15" w:type="dxa"/>
              <w:right w:w="15" w:type="dxa"/>
            </w:tcMar>
            <w:vAlign w:val="center"/>
          </w:tcPr>
          <w:p>
            <w:pPr>
              <w:spacing w:before="0" w:beforeAutospacing="0" w:after="0" w:afterAutospacing="0"/>
              <w:ind w:left="0" w:right="0"/>
              <w:rPr>
                <w:rFonts w:hint="eastAsia" w:ascii="宋体" w:hAnsi="宋体" w:eastAsia="宋体" w:cs="宋体"/>
                <w:i w:val="0"/>
                <w:color w:val="000000"/>
                <w:sz w:val="21"/>
                <w:szCs w:val="21"/>
                <w:u w:val="none"/>
              </w:rPr>
            </w:pPr>
          </w:p>
        </w:tc>
        <w:tc>
          <w:tcPr>
            <w:tcW w:w="3109" w:type="dxa"/>
            <w:gridSpan w:val="2"/>
            <w:tcBorders>
              <w:tl2br w:val="nil"/>
              <w:tr2bl w:val="nil"/>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（七）总计</w:t>
            </w:r>
          </w:p>
        </w:tc>
        <w:tc>
          <w:tcPr>
            <w:tcW w:w="737"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3</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1</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839" w:type="dxa"/>
            <w:gridSpan w:val="3"/>
            <w:tcBorders>
              <w:tl2br w:val="nil"/>
              <w:tr2bl w:val="nil"/>
            </w:tcBorders>
            <w:tcMar>
              <w:top w:w="15" w:type="dxa"/>
              <w:left w:w="15" w:type="dxa"/>
              <w:right w:w="15" w:type="dxa"/>
            </w:tcMar>
            <w:vAlign w:val="center"/>
          </w:tcPr>
          <w:p>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19"/>
                <w:szCs w:val="19"/>
                <w:u w:val="none"/>
                <w:lang w:val="en-US" w:eastAsia="zh-CN" w:bidi="ar"/>
              </w:rPr>
              <w:t>四、结转下年度继续办理</w:t>
            </w:r>
          </w:p>
        </w:tc>
        <w:tc>
          <w:tcPr>
            <w:tcW w:w="737"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eastAsia="zh-CN"/>
              </w:rPr>
              <w:t>0</w:t>
            </w:r>
          </w:p>
        </w:tc>
        <w:tc>
          <w:tcPr>
            <w:tcW w:w="614"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c>
          <w:tcPr>
            <w:tcW w:w="615" w:type="dxa"/>
            <w:tcBorders>
              <w:tl2br w:val="nil"/>
              <w:tr2bl w:val="nil"/>
            </w:tcBorders>
            <w:tcMar>
              <w:top w:w="15" w:type="dxa"/>
              <w:left w:w="15" w:type="dxa"/>
              <w:right w:w="15" w:type="dxa"/>
            </w:tcMar>
            <w:vAlign w:val="center"/>
          </w:tcPr>
          <w:p>
            <w:pPr>
              <w:spacing w:before="0" w:beforeAutospacing="0" w:after="0" w:afterAutospacing="0"/>
              <w:ind w:left="0" w:right="0"/>
              <w:jc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0</w:t>
            </w:r>
          </w:p>
        </w:tc>
      </w:tr>
    </w:tbl>
    <w:p>
      <w:pPr>
        <w:widowControl/>
        <w:numPr>
          <w:ilvl w:val="0"/>
          <w:numId w:val="0"/>
        </w:numPr>
        <w:spacing w:before="75" w:beforeAutospacing="0" w:after="75" w:afterAutospacing="0"/>
        <w:ind w:right="0"/>
        <w:jc w:val="left"/>
        <w:rPr>
          <w:rFonts w:hint="default"/>
          <w:lang w:val="en-US" w:eastAsia="zh-CN"/>
        </w:rPr>
      </w:pPr>
      <w:r>
        <w:rPr>
          <w:rFonts w:hint="eastAsia" w:ascii="仿宋" w:hAnsi="仿宋" w:eastAsia="仿宋" w:cs="仿宋"/>
          <w:b/>
          <w:i w:val="0"/>
          <w:caps w:val="0"/>
          <w:color w:val="000000"/>
          <w:spacing w:val="0"/>
          <w:kern w:val="0"/>
          <w:sz w:val="32"/>
          <w:szCs w:val="32"/>
          <w:lang w:val="en-US" w:eastAsia="zh-CN"/>
        </w:rPr>
        <w:t xml:space="preserve">    </w:t>
      </w:r>
    </w:p>
    <w:p>
      <w:pPr>
        <w:keepNext w:val="0"/>
        <w:keepLines w:val="0"/>
        <w:pageBreakBefore w:val="0"/>
        <w:widowControl/>
        <w:numPr>
          <w:ilvl w:val="0"/>
          <w:numId w:val="1"/>
        </w:numPr>
        <w:kinsoku/>
        <w:wordWrap/>
        <w:overflowPunct/>
        <w:topLinePunct w:val="0"/>
        <w:autoSpaceDE/>
        <w:autoSpaceDN/>
        <w:bidi w:val="0"/>
        <w:adjustRightInd w:val="0"/>
        <w:snapToGrid w:val="0"/>
        <w:spacing w:before="75" w:beforeAutospacing="0" w:after="75" w:afterAutospacing="0" w:line="640" w:lineRule="exact"/>
        <w:ind w:left="0" w:leftChars="0" w:right="0" w:firstLine="720" w:firstLineChars="225"/>
        <w:jc w:val="left"/>
        <w:textAlignment w:val="auto"/>
        <w:rPr>
          <w:rFonts w:hint="eastAsia" w:ascii="黑体" w:hAnsi="黑体" w:eastAsia="黑体" w:cs="黑体"/>
          <w:b w:val="0"/>
          <w:bCs w:val="0"/>
          <w:i w:val="0"/>
          <w:caps w:val="0"/>
          <w:color w:val="000000"/>
          <w:spacing w:val="0"/>
          <w:kern w:val="0"/>
          <w:sz w:val="32"/>
          <w:szCs w:val="32"/>
          <w:lang w:val="en-US" w:eastAsia="zh-CN"/>
        </w:rPr>
      </w:pPr>
      <w:r>
        <w:rPr>
          <w:rFonts w:hint="eastAsia" w:ascii="黑体" w:hAnsi="黑体" w:eastAsia="黑体" w:cs="黑体"/>
          <w:b w:val="0"/>
          <w:bCs w:val="0"/>
          <w:i w:val="0"/>
          <w:caps w:val="0"/>
          <w:color w:val="000000"/>
          <w:spacing w:val="0"/>
          <w:kern w:val="0"/>
          <w:sz w:val="32"/>
          <w:szCs w:val="32"/>
          <w:lang w:val="en-US" w:eastAsia="zh-CN"/>
        </w:rPr>
        <w:t>政府信息公开行政复议、行政诉讼情况</w:t>
      </w:r>
    </w:p>
    <w:tbl>
      <w:tblPr>
        <w:tblStyle w:val="7"/>
        <w:tblW w:w="827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64"/>
        <w:gridCol w:w="464"/>
        <w:gridCol w:w="464"/>
        <w:gridCol w:w="464"/>
        <w:gridCol w:w="457"/>
        <w:gridCol w:w="500"/>
        <w:gridCol w:w="575"/>
        <w:gridCol w:w="588"/>
        <w:gridCol w:w="512"/>
        <w:gridCol w:w="513"/>
        <w:gridCol w:w="587"/>
        <w:gridCol w:w="575"/>
        <w:gridCol w:w="788"/>
        <w:gridCol w:w="825"/>
        <w:gridCol w:w="5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9" w:hRule="atLeast"/>
          <w:jc w:val="center"/>
        </w:trPr>
        <w:tc>
          <w:tcPr>
            <w:tcW w:w="2313" w:type="dxa"/>
            <w:gridSpan w:val="5"/>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行政复议</w:t>
            </w:r>
          </w:p>
        </w:tc>
        <w:tc>
          <w:tcPr>
            <w:tcW w:w="5963" w:type="dxa"/>
            <w:gridSpan w:val="10"/>
            <w:tcBorders>
              <w:top w:val="single" w:color="auto" w:sz="4" w:space="0"/>
              <w:left w:val="nil"/>
              <w:bottom w:val="single" w:color="auto" w:sz="4" w:space="0"/>
              <w:right w:val="single" w:color="000000"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2" w:hRule="atLeast"/>
          <w:jc w:val="center"/>
        </w:trPr>
        <w:tc>
          <w:tcPr>
            <w:tcW w:w="464" w:type="dxa"/>
            <w:tcBorders>
              <w:top w:val="nil"/>
              <w:left w:val="single" w:color="auto" w:sz="4" w:space="0"/>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　</w:t>
            </w:r>
          </w:p>
        </w:tc>
        <w:tc>
          <w:tcPr>
            <w:tcW w:w="464"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　</w:t>
            </w:r>
          </w:p>
        </w:tc>
        <w:tc>
          <w:tcPr>
            <w:tcW w:w="464"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　</w:t>
            </w:r>
          </w:p>
        </w:tc>
        <w:tc>
          <w:tcPr>
            <w:tcW w:w="464"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　</w:t>
            </w:r>
          </w:p>
        </w:tc>
        <w:tc>
          <w:tcPr>
            <w:tcW w:w="457"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　</w:t>
            </w:r>
          </w:p>
        </w:tc>
        <w:tc>
          <w:tcPr>
            <w:tcW w:w="2688" w:type="dxa"/>
            <w:gridSpan w:val="5"/>
            <w:tcBorders>
              <w:top w:val="single" w:color="auto" w:sz="4" w:space="0"/>
              <w:left w:val="nil"/>
              <w:bottom w:val="single" w:color="auto" w:sz="4" w:space="0"/>
              <w:right w:val="single" w:color="000000"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未经复议直接起诉</w:t>
            </w:r>
          </w:p>
        </w:tc>
        <w:tc>
          <w:tcPr>
            <w:tcW w:w="3275" w:type="dxa"/>
            <w:gridSpan w:val="5"/>
            <w:tcBorders>
              <w:top w:val="single" w:color="auto" w:sz="4" w:space="0"/>
              <w:left w:val="nil"/>
              <w:bottom w:val="single" w:color="auto" w:sz="4" w:space="0"/>
              <w:right w:val="single" w:color="000000"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6" w:hRule="atLeast"/>
          <w:jc w:val="center"/>
        </w:trPr>
        <w:tc>
          <w:tcPr>
            <w:tcW w:w="464" w:type="dxa"/>
            <w:tcBorders>
              <w:top w:val="nil"/>
              <w:left w:val="single" w:color="auto" w:sz="4" w:space="0"/>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结</w:t>
            </w:r>
          </w:p>
        </w:tc>
        <w:tc>
          <w:tcPr>
            <w:tcW w:w="464"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结</w:t>
            </w:r>
          </w:p>
        </w:tc>
        <w:tc>
          <w:tcPr>
            <w:tcW w:w="464"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其</w:t>
            </w:r>
          </w:p>
        </w:tc>
        <w:tc>
          <w:tcPr>
            <w:tcW w:w="464"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尚</w:t>
            </w:r>
          </w:p>
        </w:tc>
        <w:tc>
          <w:tcPr>
            <w:tcW w:w="457"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　</w:t>
            </w:r>
          </w:p>
        </w:tc>
        <w:tc>
          <w:tcPr>
            <w:tcW w:w="500"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结</w:t>
            </w:r>
          </w:p>
        </w:tc>
        <w:tc>
          <w:tcPr>
            <w:tcW w:w="575"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结</w:t>
            </w:r>
          </w:p>
        </w:tc>
        <w:tc>
          <w:tcPr>
            <w:tcW w:w="588"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其</w:t>
            </w:r>
          </w:p>
        </w:tc>
        <w:tc>
          <w:tcPr>
            <w:tcW w:w="512"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尚</w:t>
            </w:r>
          </w:p>
        </w:tc>
        <w:tc>
          <w:tcPr>
            <w:tcW w:w="513"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　</w:t>
            </w:r>
          </w:p>
        </w:tc>
        <w:tc>
          <w:tcPr>
            <w:tcW w:w="587"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结</w:t>
            </w:r>
          </w:p>
        </w:tc>
        <w:tc>
          <w:tcPr>
            <w:tcW w:w="575"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结</w:t>
            </w:r>
          </w:p>
        </w:tc>
        <w:tc>
          <w:tcPr>
            <w:tcW w:w="788"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　</w:t>
            </w:r>
          </w:p>
        </w:tc>
        <w:tc>
          <w:tcPr>
            <w:tcW w:w="825"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　</w:t>
            </w:r>
          </w:p>
        </w:tc>
        <w:tc>
          <w:tcPr>
            <w:tcW w:w="500"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38" w:hRule="atLeast"/>
          <w:jc w:val="center"/>
        </w:trPr>
        <w:tc>
          <w:tcPr>
            <w:tcW w:w="464" w:type="dxa"/>
            <w:tcBorders>
              <w:top w:val="nil"/>
              <w:left w:val="single" w:color="auto" w:sz="4" w:space="0"/>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果</w:t>
            </w:r>
          </w:p>
        </w:tc>
        <w:tc>
          <w:tcPr>
            <w:tcW w:w="464"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果</w:t>
            </w:r>
          </w:p>
        </w:tc>
        <w:tc>
          <w:tcPr>
            <w:tcW w:w="464"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他</w:t>
            </w:r>
          </w:p>
        </w:tc>
        <w:tc>
          <w:tcPr>
            <w:tcW w:w="464"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未</w:t>
            </w:r>
          </w:p>
        </w:tc>
        <w:tc>
          <w:tcPr>
            <w:tcW w:w="457"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总计</w:t>
            </w:r>
          </w:p>
        </w:tc>
        <w:tc>
          <w:tcPr>
            <w:tcW w:w="500"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果</w:t>
            </w:r>
          </w:p>
        </w:tc>
        <w:tc>
          <w:tcPr>
            <w:tcW w:w="575"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果</w:t>
            </w:r>
          </w:p>
        </w:tc>
        <w:tc>
          <w:tcPr>
            <w:tcW w:w="588"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他</w:t>
            </w:r>
          </w:p>
        </w:tc>
        <w:tc>
          <w:tcPr>
            <w:tcW w:w="512"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未</w:t>
            </w:r>
          </w:p>
        </w:tc>
        <w:tc>
          <w:tcPr>
            <w:tcW w:w="513"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总</w:t>
            </w:r>
          </w:p>
        </w:tc>
        <w:tc>
          <w:tcPr>
            <w:tcW w:w="587"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果</w:t>
            </w:r>
          </w:p>
        </w:tc>
        <w:tc>
          <w:tcPr>
            <w:tcW w:w="575"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果</w:t>
            </w:r>
          </w:p>
        </w:tc>
        <w:tc>
          <w:tcPr>
            <w:tcW w:w="788"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其他</w:t>
            </w:r>
          </w:p>
        </w:tc>
        <w:tc>
          <w:tcPr>
            <w:tcW w:w="825"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尚未</w:t>
            </w:r>
          </w:p>
        </w:tc>
        <w:tc>
          <w:tcPr>
            <w:tcW w:w="500"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SA"/>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8" w:hRule="atLeast"/>
          <w:jc w:val="center"/>
        </w:trPr>
        <w:tc>
          <w:tcPr>
            <w:tcW w:w="464" w:type="dxa"/>
            <w:tcBorders>
              <w:top w:val="nil"/>
              <w:left w:val="single" w:color="auto" w:sz="4" w:space="0"/>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维</w:t>
            </w:r>
          </w:p>
        </w:tc>
        <w:tc>
          <w:tcPr>
            <w:tcW w:w="464"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纠</w:t>
            </w:r>
          </w:p>
        </w:tc>
        <w:tc>
          <w:tcPr>
            <w:tcW w:w="464"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结</w:t>
            </w:r>
          </w:p>
        </w:tc>
        <w:tc>
          <w:tcPr>
            <w:tcW w:w="464"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审</w:t>
            </w:r>
          </w:p>
        </w:tc>
        <w:tc>
          <w:tcPr>
            <w:tcW w:w="457"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　</w:t>
            </w:r>
          </w:p>
        </w:tc>
        <w:tc>
          <w:tcPr>
            <w:tcW w:w="500"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维</w:t>
            </w:r>
          </w:p>
        </w:tc>
        <w:tc>
          <w:tcPr>
            <w:tcW w:w="575"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纠</w:t>
            </w:r>
          </w:p>
        </w:tc>
        <w:tc>
          <w:tcPr>
            <w:tcW w:w="588"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结</w:t>
            </w:r>
          </w:p>
        </w:tc>
        <w:tc>
          <w:tcPr>
            <w:tcW w:w="512"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审</w:t>
            </w:r>
          </w:p>
        </w:tc>
        <w:tc>
          <w:tcPr>
            <w:tcW w:w="513"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计</w:t>
            </w:r>
          </w:p>
        </w:tc>
        <w:tc>
          <w:tcPr>
            <w:tcW w:w="587"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维</w:t>
            </w:r>
          </w:p>
        </w:tc>
        <w:tc>
          <w:tcPr>
            <w:tcW w:w="575"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纠</w:t>
            </w:r>
          </w:p>
        </w:tc>
        <w:tc>
          <w:tcPr>
            <w:tcW w:w="788"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结果</w:t>
            </w:r>
          </w:p>
        </w:tc>
        <w:tc>
          <w:tcPr>
            <w:tcW w:w="825"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审结</w:t>
            </w:r>
          </w:p>
        </w:tc>
        <w:tc>
          <w:tcPr>
            <w:tcW w:w="500" w:type="dxa"/>
            <w:tcBorders>
              <w:top w:val="nil"/>
              <w:left w:val="nil"/>
              <w:bottom w:val="nil"/>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4" w:hRule="atLeast"/>
          <w:jc w:val="center"/>
        </w:trPr>
        <w:tc>
          <w:tcPr>
            <w:tcW w:w="464" w:type="dxa"/>
            <w:tcBorders>
              <w:top w:val="nil"/>
              <w:left w:val="single" w:color="auto" w:sz="4" w:space="0"/>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持</w:t>
            </w:r>
          </w:p>
        </w:tc>
        <w:tc>
          <w:tcPr>
            <w:tcW w:w="464" w:type="dxa"/>
            <w:tcBorders>
              <w:top w:val="nil"/>
              <w:left w:val="nil"/>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正</w:t>
            </w:r>
          </w:p>
        </w:tc>
        <w:tc>
          <w:tcPr>
            <w:tcW w:w="464" w:type="dxa"/>
            <w:tcBorders>
              <w:top w:val="nil"/>
              <w:left w:val="nil"/>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果</w:t>
            </w:r>
          </w:p>
        </w:tc>
        <w:tc>
          <w:tcPr>
            <w:tcW w:w="464" w:type="dxa"/>
            <w:tcBorders>
              <w:top w:val="nil"/>
              <w:left w:val="nil"/>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结</w:t>
            </w:r>
          </w:p>
        </w:tc>
        <w:tc>
          <w:tcPr>
            <w:tcW w:w="457" w:type="dxa"/>
            <w:tcBorders>
              <w:top w:val="nil"/>
              <w:left w:val="nil"/>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　</w:t>
            </w:r>
          </w:p>
        </w:tc>
        <w:tc>
          <w:tcPr>
            <w:tcW w:w="500" w:type="dxa"/>
            <w:tcBorders>
              <w:top w:val="nil"/>
              <w:left w:val="nil"/>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持</w:t>
            </w:r>
          </w:p>
        </w:tc>
        <w:tc>
          <w:tcPr>
            <w:tcW w:w="575" w:type="dxa"/>
            <w:tcBorders>
              <w:top w:val="nil"/>
              <w:left w:val="nil"/>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正</w:t>
            </w:r>
          </w:p>
        </w:tc>
        <w:tc>
          <w:tcPr>
            <w:tcW w:w="588" w:type="dxa"/>
            <w:tcBorders>
              <w:top w:val="nil"/>
              <w:left w:val="nil"/>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果</w:t>
            </w:r>
          </w:p>
        </w:tc>
        <w:tc>
          <w:tcPr>
            <w:tcW w:w="512" w:type="dxa"/>
            <w:tcBorders>
              <w:top w:val="nil"/>
              <w:left w:val="nil"/>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结</w:t>
            </w:r>
          </w:p>
        </w:tc>
        <w:tc>
          <w:tcPr>
            <w:tcW w:w="513" w:type="dxa"/>
            <w:tcBorders>
              <w:top w:val="nil"/>
              <w:left w:val="nil"/>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　</w:t>
            </w:r>
          </w:p>
        </w:tc>
        <w:tc>
          <w:tcPr>
            <w:tcW w:w="587" w:type="dxa"/>
            <w:tcBorders>
              <w:top w:val="nil"/>
              <w:left w:val="nil"/>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持</w:t>
            </w:r>
          </w:p>
        </w:tc>
        <w:tc>
          <w:tcPr>
            <w:tcW w:w="575" w:type="dxa"/>
            <w:tcBorders>
              <w:top w:val="nil"/>
              <w:left w:val="nil"/>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正</w:t>
            </w:r>
          </w:p>
        </w:tc>
        <w:tc>
          <w:tcPr>
            <w:tcW w:w="788" w:type="dxa"/>
            <w:tcBorders>
              <w:top w:val="nil"/>
              <w:left w:val="nil"/>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　</w:t>
            </w:r>
          </w:p>
        </w:tc>
        <w:tc>
          <w:tcPr>
            <w:tcW w:w="825" w:type="dxa"/>
            <w:tcBorders>
              <w:top w:val="nil"/>
              <w:left w:val="nil"/>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　</w:t>
            </w:r>
          </w:p>
        </w:tc>
        <w:tc>
          <w:tcPr>
            <w:tcW w:w="500" w:type="dxa"/>
            <w:tcBorders>
              <w:top w:val="nil"/>
              <w:left w:val="nil"/>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2" w:hRule="atLeast"/>
          <w:jc w:val="center"/>
        </w:trPr>
        <w:tc>
          <w:tcPr>
            <w:tcW w:w="464" w:type="dxa"/>
            <w:tcBorders>
              <w:top w:val="nil"/>
              <w:left w:val="single" w:color="auto" w:sz="4" w:space="0"/>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c>
          <w:tcPr>
            <w:tcW w:w="464" w:type="dxa"/>
            <w:tcBorders>
              <w:top w:val="nil"/>
              <w:left w:val="nil"/>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c>
          <w:tcPr>
            <w:tcW w:w="464" w:type="dxa"/>
            <w:tcBorders>
              <w:top w:val="nil"/>
              <w:left w:val="nil"/>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c>
          <w:tcPr>
            <w:tcW w:w="464" w:type="dxa"/>
            <w:tcBorders>
              <w:top w:val="nil"/>
              <w:left w:val="nil"/>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c>
          <w:tcPr>
            <w:tcW w:w="457" w:type="dxa"/>
            <w:tcBorders>
              <w:top w:val="nil"/>
              <w:left w:val="nil"/>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c>
          <w:tcPr>
            <w:tcW w:w="500" w:type="dxa"/>
            <w:tcBorders>
              <w:top w:val="nil"/>
              <w:left w:val="nil"/>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c>
          <w:tcPr>
            <w:tcW w:w="575" w:type="dxa"/>
            <w:tcBorders>
              <w:top w:val="nil"/>
              <w:left w:val="nil"/>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c>
          <w:tcPr>
            <w:tcW w:w="588" w:type="dxa"/>
            <w:tcBorders>
              <w:top w:val="nil"/>
              <w:left w:val="nil"/>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c>
          <w:tcPr>
            <w:tcW w:w="512" w:type="dxa"/>
            <w:tcBorders>
              <w:top w:val="nil"/>
              <w:left w:val="nil"/>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c>
          <w:tcPr>
            <w:tcW w:w="513" w:type="dxa"/>
            <w:tcBorders>
              <w:top w:val="nil"/>
              <w:left w:val="nil"/>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c>
          <w:tcPr>
            <w:tcW w:w="587" w:type="dxa"/>
            <w:tcBorders>
              <w:top w:val="nil"/>
              <w:left w:val="nil"/>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c>
          <w:tcPr>
            <w:tcW w:w="575" w:type="dxa"/>
            <w:tcBorders>
              <w:top w:val="nil"/>
              <w:left w:val="nil"/>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c>
          <w:tcPr>
            <w:tcW w:w="788" w:type="dxa"/>
            <w:tcBorders>
              <w:top w:val="nil"/>
              <w:left w:val="nil"/>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c>
          <w:tcPr>
            <w:tcW w:w="825" w:type="dxa"/>
            <w:tcBorders>
              <w:top w:val="nil"/>
              <w:left w:val="nil"/>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c>
          <w:tcPr>
            <w:tcW w:w="500" w:type="dxa"/>
            <w:tcBorders>
              <w:top w:val="nil"/>
              <w:left w:val="nil"/>
              <w:bottom w:val="single" w:color="auto" w:sz="4" w:space="0"/>
              <w:right w:val="single" w:color="auto" w:sz="4" w:space="0"/>
            </w:tcBorders>
            <w:tcMar>
              <w:top w:w="15" w:type="dxa"/>
              <w:left w:w="15" w:type="dxa"/>
              <w:right w:w="15" w:type="dxa"/>
            </w:tcMar>
            <w:vAlign w:val="center"/>
          </w:tcPr>
          <w:p>
            <w:pPr>
              <w:widowControl/>
              <w:spacing w:before="0" w:beforeAutospacing="0" w:after="0" w:afterAutospacing="0"/>
              <w:ind w:left="0" w:right="0"/>
              <w:jc w:val="center"/>
              <w:textAlignment w:val="center"/>
              <w:rPr>
                <w:rFonts w:hint="eastAsia" w:ascii="宋体" w:hAnsi="宋体" w:eastAsia="宋体" w:cs="宋体"/>
                <w:i w:val="0"/>
                <w:color w:val="000000"/>
                <w:kern w:val="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SA"/>
              </w:rPr>
              <w:t>0</w:t>
            </w:r>
          </w:p>
        </w:tc>
      </w:tr>
    </w:tbl>
    <w:p>
      <w:pPr>
        <w:widowControl/>
        <w:spacing w:before="0" w:beforeAutospacing="0" w:after="0" w:afterAutospacing="0"/>
        <w:ind w:left="0" w:right="0"/>
        <w:jc w:val="both"/>
        <w:textAlignment w:val="center"/>
        <w:rPr>
          <w:rFonts w:hint="eastAsia" w:ascii="仿宋" w:hAnsi="仿宋" w:eastAsia="仿宋" w:cs="仿宋"/>
          <w:i w:val="0"/>
          <w:color w:val="000000"/>
          <w:kern w:val="0"/>
          <w:sz w:val="32"/>
          <w:szCs w:val="32"/>
          <w:u w:val="none"/>
          <w:lang w:val="en-US" w:eastAsia="zh-CN" w:bidi="ar-SA"/>
        </w:rPr>
      </w:pPr>
    </w:p>
    <w:p>
      <w:pPr>
        <w:keepNext w:val="0"/>
        <w:keepLines w:val="0"/>
        <w:pageBreakBefore w:val="0"/>
        <w:widowControl/>
        <w:numPr>
          <w:ilvl w:val="0"/>
          <w:numId w:val="1"/>
        </w:numPr>
        <w:kinsoku/>
        <w:wordWrap/>
        <w:overflowPunct/>
        <w:topLinePunct w:val="0"/>
        <w:autoSpaceDE/>
        <w:autoSpaceDN/>
        <w:bidi w:val="0"/>
        <w:adjustRightInd w:val="0"/>
        <w:snapToGrid w:val="0"/>
        <w:spacing w:before="75" w:beforeAutospacing="0" w:after="75" w:afterAutospacing="0" w:line="570" w:lineRule="exact"/>
        <w:ind w:left="0" w:leftChars="0" w:right="0" w:firstLine="640" w:firstLineChars="200"/>
        <w:jc w:val="left"/>
        <w:textAlignment w:val="auto"/>
        <w:rPr>
          <w:rFonts w:hint="eastAsia" w:ascii="黑体" w:hAnsi="黑体" w:eastAsia="黑体" w:cs="黑体"/>
          <w:b w:val="0"/>
          <w:bCs w:val="0"/>
          <w:i w:val="0"/>
          <w:caps w:val="0"/>
          <w:color w:val="000000"/>
          <w:spacing w:val="0"/>
          <w:kern w:val="0"/>
          <w:sz w:val="32"/>
          <w:szCs w:val="32"/>
          <w:lang w:val="en-US" w:eastAsia="zh-CN"/>
        </w:rPr>
      </w:pPr>
      <w:r>
        <w:rPr>
          <w:rFonts w:hint="eastAsia" w:ascii="黑体" w:hAnsi="黑体" w:eastAsia="黑体" w:cs="黑体"/>
          <w:b w:val="0"/>
          <w:bCs w:val="0"/>
          <w:i w:val="0"/>
          <w:caps w:val="0"/>
          <w:color w:val="000000"/>
          <w:spacing w:val="0"/>
          <w:kern w:val="0"/>
          <w:sz w:val="32"/>
          <w:szCs w:val="32"/>
          <w:lang w:val="en-US" w:eastAsia="zh-CN"/>
        </w:rPr>
        <w:t>存在的主要问题及改进情况</w:t>
      </w:r>
    </w:p>
    <w:p>
      <w:pPr>
        <w:bidi w:val="0"/>
        <w:ind w:firstLine="640" w:firstLineChars="200"/>
        <w:rPr>
          <w:rFonts w:hint="eastAsia"/>
          <w:lang w:val="en-US" w:eastAsia="zh-CN"/>
        </w:rPr>
      </w:pPr>
      <w:r>
        <w:rPr>
          <w:rFonts w:hint="eastAsia" w:ascii="仿宋" w:hAnsi="仿宋" w:eastAsia="仿宋" w:cs="黑体"/>
          <w:kern w:val="2"/>
          <w:sz w:val="32"/>
          <w:szCs w:val="32"/>
          <w:lang w:val="en-US" w:eastAsia="zh-CN" w:bidi="ar-SA"/>
        </w:rPr>
        <w:t>当前我局政府信息公开工作取得一定的成绩，但与公众的需求和上级的要求还存在一些差距需引起重视：</w:t>
      </w:r>
      <w:r>
        <w:rPr>
          <w:rFonts w:hint="eastAsia" w:ascii="仿宋" w:hAnsi="仿宋" w:eastAsia="仿宋" w:cs="黑体"/>
          <w:b/>
          <w:bCs/>
          <w:kern w:val="2"/>
          <w:sz w:val="32"/>
          <w:szCs w:val="32"/>
          <w:lang w:val="en-US" w:eastAsia="zh-CN" w:bidi="ar-SA"/>
        </w:rPr>
        <w:t>一是</w:t>
      </w:r>
      <w:r>
        <w:rPr>
          <w:rFonts w:hint="eastAsia" w:ascii="仿宋" w:hAnsi="仿宋" w:eastAsia="仿宋" w:cs="黑体"/>
          <w:kern w:val="2"/>
          <w:sz w:val="32"/>
          <w:szCs w:val="32"/>
          <w:lang w:val="en-US" w:eastAsia="zh-CN" w:bidi="ar-SA"/>
        </w:rPr>
        <w:t>政策解读还要进一步丰富。</w:t>
      </w:r>
      <w:r>
        <w:rPr>
          <w:rFonts w:hint="eastAsia" w:ascii="仿宋" w:hAnsi="仿宋" w:eastAsia="仿宋" w:cs="黑体"/>
          <w:b/>
          <w:bCs/>
          <w:kern w:val="2"/>
          <w:sz w:val="32"/>
          <w:szCs w:val="32"/>
          <w:lang w:val="en-US" w:eastAsia="zh-CN" w:bidi="ar-SA"/>
        </w:rPr>
        <w:t>二是</w:t>
      </w:r>
      <w:r>
        <w:rPr>
          <w:rFonts w:hint="eastAsia" w:ascii="仿宋" w:hAnsi="仿宋" w:eastAsia="仿宋" w:cs="黑体"/>
          <w:kern w:val="2"/>
          <w:sz w:val="32"/>
          <w:szCs w:val="32"/>
          <w:lang w:val="en-US" w:eastAsia="zh-CN" w:bidi="ar-SA"/>
        </w:rPr>
        <w:t>依申请公开办理仍需进一步提升。</w:t>
      </w:r>
      <w:r>
        <w:rPr>
          <w:rFonts w:hint="eastAsia" w:ascii="仿宋" w:hAnsi="仿宋" w:eastAsia="仿宋" w:cs="黑体"/>
          <w:b/>
          <w:bCs/>
          <w:kern w:val="2"/>
          <w:sz w:val="32"/>
          <w:szCs w:val="32"/>
          <w:lang w:val="en-US" w:eastAsia="zh-CN" w:bidi="ar-SA"/>
        </w:rPr>
        <w:t>三是</w:t>
      </w:r>
      <w:r>
        <w:rPr>
          <w:rFonts w:hint="eastAsia" w:ascii="仿宋" w:hAnsi="仿宋" w:eastAsia="仿宋" w:cs="黑体"/>
          <w:kern w:val="2"/>
          <w:sz w:val="32"/>
          <w:szCs w:val="32"/>
          <w:lang w:val="en-US" w:eastAsia="zh-CN" w:bidi="ar-SA"/>
        </w:rPr>
        <w:t>网络舆情处置有待进一步完善。</w:t>
      </w:r>
      <w:r>
        <w:rPr>
          <w:rFonts w:hint="eastAsia" w:ascii="仿宋" w:hAnsi="仿宋" w:eastAsia="仿宋" w:cs="黑体"/>
          <w:b/>
          <w:bCs/>
          <w:kern w:val="2"/>
          <w:sz w:val="32"/>
          <w:szCs w:val="32"/>
          <w:lang w:val="en-US" w:eastAsia="zh-CN" w:bidi="ar-SA"/>
        </w:rPr>
        <w:t>四是</w:t>
      </w:r>
      <w:r>
        <w:rPr>
          <w:rFonts w:hint="eastAsia" w:ascii="仿宋" w:hAnsi="仿宋" w:eastAsia="仿宋" w:cs="黑体"/>
          <w:kern w:val="2"/>
          <w:sz w:val="32"/>
          <w:szCs w:val="32"/>
          <w:lang w:val="en-US" w:eastAsia="zh-CN" w:bidi="ar-SA"/>
        </w:rPr>
        <w:t>信息公开的内容有待进一步完善。下一步将围绕四方面改进提升：</w:t>
      </w:r>
    </w:p>
    <w:p>
      <w:pPr>
        <w:bidi w:val="0"/>
        <w:ind w:firstLine="643" w:firstLineChars="200"/>
        <w:rPr>
          <w:rFonts w:hint="default" w:ascii="仿宋" w:hAnsi="仿宋" w:eastAsia="仿宋" w:cs="黑体"/>
          <w:kern w:val="2"/>
          <w:sz w:val="32"/>
          <w:szCs w:val="32"/>
          <w:lang w:val="en-US" w:eastAsia="zh-CN" w:bidi="ar-SA"/>
        </w:rPr>
      </w:pPr>
      <w:r>
        <w:rPr>
          <w:rFonts w:hint="eastAsia" w:ascii="楷体_GB2312" w:hAnsi="楷体_GB2312" w:eastAsia="楷体_GB2312" w:cs="楷体_GB2312"/>
          <w:b/>
          <w:bCs/>
          <w:color w:val="000000"/>
          <w:kern w:val="0"/>
          <w:sz w:val="32"/>
          <w:szCs w:val="32"/>
          <w:lang w:val="en-US" w:eastAsia="zh-CN"/>
        </w:rPr>
        <w:t>（一）在解读政策法规上下功夫。</w:t>
      </w:r>
      <w:r>
        <w:rPr>
          <w:rFonts w:hint="eastAsia" w:ascii="仿宋" w:hAnsi="仿宋" w:eastAsia="仿宋" w:cs="黑体"/>
          <w:kern w:val="2"/>
          <w:sz w:val="32"/>
          <w:szCs w:val="32"/>
          <w:lang w:val="en-US" w:eastAsia="zh-CN" w:bidi="ar-SA"/>
        </w:rPr>
        <w:t>按照</w:t>
      </w:r>
      <w:r>
        <w:rPr>
          <w:rFonts w:hint="default" w:ascii="仿宋" w:hAnsi="仿宋" w:eastAsia="仿宋" w:cs="黑体"/>
          <w:kern w:val="2"/>
          <w:sz w:val="32"/>
          <w:szCs w:val="32"/>
          <w:lang w:val="en-US" w:eastAsia="zh-CN" w:bidi="ar-SA"/>
        </w:rPr>
        <w:t>“谁起草、谁解读”的原则，切实做到政策性文件与解读方案、解读材料同步组织、同步审签、同步部署。对社会保障等社会热点，以及人民群众办事服务的堵点痛点，要加强舆情监测、研判、回应，及时解疑释惑，理顺情绪，化解矛盾。</w:t>
      </w:r>
    </w:p>
    <w:p>
      <w:pPr>
        <w:bidi w:val="0"/>
        <w:ind w:firstLine="643" w:firstLineChars="200"/>
        <w:rPr>
          <w:rFonts w:hint="default" w:ascii="仿宋" w:hAnsi="仿宋" w:eastAsia="仿宋" w:cs="黑体"/>
          <w:kern w:val="2"/>
          <w:sz w:val="32"/>
          <w:szCs w:val="32"/>
          <w:lang w:val="en-US" w:eastAsia="zh-CN" w:bidi="ar-SA"/>
        </w:rPr>
      </w:pPr>
      <w:r>
        <w:rPr>
          <w:rFonts w:hint="eastAsia" w:ascii="楷体_GB2312" w:hAnsi="楷体_GB2312" w:eastAsia="楷体_GB2312" w:cs="楷体_GB2312"/>
          <w:b/>
          <w:bCs/>
          <w:color w:val="000000"/>
          <w:kern w:val="0"/>
          <w:sz w:val="32"/>
          <w:szCs w:val="32"/>
          <w:lang w:val="en-US" w:eastAsia="zh-CN"/>
        </w:rPr>
        <w:t>（二）在办理依申请公开上下功夫。</w:t>
      </w:r>
      <w:r>
        <w:rPr>
          <w:rFonts w:hint="eastAsia" w:ascii="仿宋" w:hAnsi="仿宋" w:eastAsia="仿宋" w:cs="黑体"/>
          <w:kern w:val="2"/>
          <w:sz w:val="32"/>
          <w:szCs w:val="32"/>
          <w:lang w:val="en-US" w:eastAsia="zh-CN" w:bidi="ar-SA"/>
        </w:rPr>
        <w:t>加大业务培训，通过跟班学习、专家授课等形式，提升局系统人员依申请事项办理水平。压实“办公室统筹、法制监督科法核、分管领导审核、主要领导签批”政务公开办理机制，确保依法高效办理依申请公开事项。</w:t>
      </w:r>
    </w:p>
    <w:p>
      <w:pPr>
        <w:bidi w:val="0"/>
        <w:ind w:firstLine="643" w:firstLineChars="200"/>
        <w:rPr>
          <w:rFonts w:hint="eastAsia" w:ascii="仿宋" w:hAnsi="仿宋" w:eastAsia="仿宋" w:cs="黑体"/>
          <w:kern w:val="2"/>
          <w:sz w:val="32"/>
          <w:szCs w:val="32"/>
          <w:lang w:val="en-US" w:eastAsia="zh-CN" w:bidi="ar-SA"/>
        </w:rPr>
      </w:pPr>
      <w:r>
        <w:rPr>
          <w:rFonts w:hint="eastAsia" w:ascii="楷体_GB2312" w:hAnsi="楷体_GB2312" w:eastAsia="楷体_GB2312" w:cs="楷体_GB2312"/>
          <w:b/>
          <w:bCs/>
          <w:color w:val="000000"/>
          <w:kern w:val="0"/>
          <w:sz w:val="32"/>
          <w:szCs w:val="32"/>
          <w:lang w:val="en-US" w:eastAsia="zh-CN"/>
        </w:rPr>
        <w:t>（三）在网络舆情管控上下功夫。</w:t>
      </w:r>
      <w:r>
        <w:rPr>
          <w:rFonts w:hint="eastAsia" w:ascii="仿宋" w:hAnsi="仿宋" w:eastAsia="仿宋" w:cs="黑体"/>
          <w:kern w:val="2"/>
          <w:sz w:val="32"/>
          <w:szCs w:val="32"/>
          <w:lang w:val="en-US" w:eastAsia="zh-CN" w:bidi="ar-SA"/>
        </w:rPr>
        <w:t>强化舆情监控，对人社领域网络舆情信息加大监测，不断提高舆情监控的广度和效果。强化舆情预警，健全舆情隐患排查和分析研判制度，提升舆情和突发事件预警能力。</w:t>
      </w:r>
    </w:p>
    <w:p>
      <w:pPr>
        <w:bidi w:val="0"/>
        <w:ind w:firstLine="643" w:firstLineChars="200"/>
        <w:rPr>
          <w:rFonts w:hint="default" w:ascii="仿宋" w:hAnsi="仿宋" w:eastAsia="仿宋" w:cs="黑体"/>
          <w:kern w:val="2"/>
          <w:sz w:val="32"/>
          <w:szCs w:val="32"/>
          <w:lang w:val="en-US" w:eastAsia="zh-CN" w:bidi="ar-SA"/>
        </w:rPr>
      </w:pPr>
      <w:r>
        <w:rPr>
          <w:rFonts w:hint="eastAsia" w:ascii="楷体_GB2312" w:hAnsi="楷体_GB2312" w:eastAsia="楷体_GB2312" w:cs="楷体_GB2312"/>
          <w:b/>
          <w:bCs/>
          <w:color w:val="000000"/>
          <w:kern w:val="0"/>
          <w:sz w:val="32"/>
          <w:szCs w:val="32"/>
          <w:lang w:val="en-US" w:eastAsia="zh-CN"/>
        </w:rPr>
        <w:t>（四）在信息发布内容上下功夫。</w:t>
      </w:r>
      <w:r>
        <w:rPr>
          <w:rFonts w:hint="eastAsia" w:ascii="仿宋" w:hAnsi="仿宋" w:eastAsia="仿宋" w:cs="黑体"/>
          <w:kern w:val="2"/>
          <w:sz w:val="32"/>
          <w:szCs w:val="32"/>
          <w:lang w:val="en-US" w:eastAsia="zh-CN" w:bidi="ar-SA"/>
        </w:rPr>
        <w:t>紧紧围绕我局“党史学习教育”和“我为群众办实事”确定的重点工作任务做好信息公开工作，重点做好稳定就业、社会保障、人事人才等相关信息公开工作。深化</w:t>
      </w:r>
      <w:r>
        <w:rPr>
          <w:rFonts w:hint="default" w:ascii="仿宋" w:hAnsi="仿宋" w:eastAsia="仿宋" w:cs="黑体"/>
          <w:kern w:val="2"/>
          <w:sz w:val="32"/>
          <w:szCs w:val="32"/>
          <w:lang w:val="en-US" w:eastAsia="zh-CN" w:bidi="ar-SA"/>
        </w:rPr>
        <w:t>“放管服”改革信息公开，强化重点民生领域信息公开，</w:t>
      </w:r>
      <w:r>
        <w:rPr>
          <w:rFonts w:hint="eastAsia" w:ascii="仿宋" w:hAnsi="仿宋" w:eastAsia="仿宋" w:cs="黑体"/>
          <w:kern w:val="2"/>
          <w:sz w:val="32"/>
          <w:szCs w:val="32"/>
          <w:lang w:val="en-US" w:eastAsia="zh-CN" w:bidi="ar-SA"/>
        </w:rPr>
        <w:t>提高政府信息公开工作的针对性和时效性。</w:t>
      </w:r>
    </w:p>
    <w:p>
      <w:pPr>
        <w:keepNext w:val="0"/>
        <w:keepLines w:val="0"/>
        <w:pageBreakBefore w:val="0"/>
        <w:widowControl/>
        <w:numPr>
          <w:ilvl w:val="0"/>
          <w:numId w:val="1"/>
        </w:numPr>
        <w:kinsoku/>
        <w:wordWrap/>
        <w:overflowPunct/>
        <w:topLinePunct w:val="0"/>
        <w:autoSpaceDE/>
        <w:autoSpaceDN/>
        <w:bidi w:val="0"/>
        <w:adjustRightInd w:val="0"/>
        <w:snapToGrid w:val="0"/>
        <w:spacing w:before="75" w:beforeAutospacing="0" w:after="75" w:afterAutospacing="0" w:line="570" w:lineRule="exact"/>
        <w:ind w:left="0" w:leftChars="0" w:right="0" w:firstLine="640" w:firstLineChars="200"/>
        <w:jc w:val="left"/>
        <w:textAlignment w:val="auto"/>
        <w:rPr>
          <w:rFonts w:hint="eastAsia" w:ascii="黑体" w:hAnsi="黑体" w:eastAsia="黑体" w:cs="黑体"/>
          <w:b w:val="0"/>
          <w:bCs w:val="0"/>
          <w:i w:val="0"/>
          <w:caps w:val="0"/>
          <w:color w:val="000000"/>
          <w:spacing w:val="0"/>
          <w:kern w:val="0"/>
          <w:sz w:val="32"/>
          <w:szCs w:val="32"/>
          <w:lang w:val="en-US" w:eastAsia="zh-CN"/>
        </w:rPr>
      </w:pPr>
      <w:r>
        <w:rPr>
          <w:rFonts w:hint="eastAsia" w:ascii="黑体" w:hAnsi="黑体" w:eastAsia="黑体" w:cs="黑体"/>
          <w:b w:val="0"/>
          <w:bCs w:val="0"/>
          <w:i w:val="0"/>
          <w:caps w:val="0"/>
          <w:color w:val="000000"/>
          <w:spacing w:val="0"/>
          <w:kern w:val="0"/>
          <w:sz w:val="32"/>
          <w:szCs w:val="32"/>
          <w:lang w:val="en-US" w:eastAsia="zh-CN"/>
        </w:rPr>
        <w:t>其他需要报告的事项</w:t>
      </w:r>
    </w:p>
    <w:p>
      <w:pPr>
        <w:keepNext w:val="0"/>
        <w:keepLines w:val="0"/>
        <w:pageBreakBefore w:val="0"/>
        <w:widowControl/>
        <w:kinsoku/>
        <w:wordWrap/>
        <w:overflowPunct/>
        <w:topLinePunct w:val="0"/>
        <w:autoSpaceDE/>
        <w:autoSpaceDN/>
        <w:bidi w:val="0"/>
        <w:adjustRightInd w:val="0"/>
        <w:snapToGrid w:val="0"/>
        <w:spacing w:before="0" w:beforeAutospacing="0" w:after="0" w:afterAutospacing="0" w:line="570" w:lineRule="exact"/>
        <w:ind w:left="0" w:right="0" w:firstLine="640" w:firstLineChars="200"/>
        <w:jc w:val="both"/>
        <w:textAlignment w:val="center"/>
        <w:rPr>
          <w:rFonts w:hint="default" w:ascii="仿宋" w:hAnsi="仿宋" w:eastAsia="仿宋" w:cs="黑体"/>
          <w:color w:val="000000"/>
          <w:kern w:val="0"/>
          <w:sz w:val="32"/>
          <w:szCs w:val="32"/>
          <w:shd w:val="clear" w:color="auto" w:fill="FFFFFF"/>
          <w:lang w:val="en-US" w:eastAsia="zh-CN"/>
        </w:rPr>
      </w:pPr>
      <w:r>
        <w:rPr>
          <w:rFonts w:hint="eastAsia" w:ascii="仿宋" w:hAnsi="仿宋" w:eastAsia="仿宋" w:cs="黑体"/>
          <w:color w:val="000000"/>
          <w:kern w:val="0"/>
          <w:sz w:val="32"/>
          <w:szCs w:val="32"/>
          <w:shd w:val="clear" w:color="auto" w:fill="FFFFFF"/>
          <w:lang w:val="en-US" w:eastAsia="zh-CN"/>
        </w:rPr>
        <w:t>无。</w:t>
      </w:r>
    </w:p>
    <w:p>
      <w:pPr>
        <w:keepNext w:val="0"/>
        <w:keepLines w:val="0"/>
        <w:pageBreakBefore w:val="0"/>
        <w:kinsoku/>
        <w:wordWrap/>
        <w:overflowPunct/>
        <w:topLinePunct w:val="0"/>
        <w:autoSpaceDE/>
        <w:autoSpaceDN/>
        <w:bidi w:val="0"/>
        <w:adjustRightInd w:val="0"/>
        <w:snapToGrid w:val="0"/>
        <w:spacing w:line="570" w:lineRule="exact"/>
        <w:ind w:firstLine="420" w:firstLineChars="200"/>
        <w:rPr>
          <w:rFonts w:hint="eastAsia"/>
          <w:lang w:val="en-US" w:eastAsia="zh-CN"/>
        </w:rPr>
      </w:pPr>
      <w:r>
        <w:rPr>
          <w:rFonts w:hint="eastAsia"/>
          <w:lang w:val="en-US" w:eastAsia="zh-CN"/>
        </w:rPr>
        <w:t xml:space="preserve">         </w:t>
      </w:r>
    </w:p>
    <w:p>
      <w:pPr>
        <w:rPr>
          <w:rFonts w:hint="eastAsia"/>
          <w:lang w:val="en-US" w:eastAsia="zh-CN"/>
        </w:rPr>
      </w:pPr>
    </w:p>
    <w:p>
      <w:pPr>
        <w:rPr>
          <w:rFonts w:hint="eastAsia"/>
          <w:lang w:val="en-US" w:eastAsia="zh-CN"/>
        </w:rPr>
      </w:pPr>
      <w:r>
        <w:rPr>
          <w:rFonts w:hint="eastAsia"/>
          <w:lang w:val="en-US" w:eastAsia="zh-CN"/>
        </w:rPr>
        <w:t xml:space="preserve">                                </w:t>
      </w:r>
    </w:p>
    <w:p>
      <w:pPr>
        <w:rPr>
          <w:rFonts w:hint="eastAsia"/>
          <w:lang w:val="en-US" w:eastAsia="zh-CN"/>
        </w:rPr>
      </w:pPr>
    </w:p>
    <w:p>
      <w:pPr>
        <w:widowControl/>
        <w:spacing w:before="0" w:beforeAutospacing="0" w:after="0" w:afterAutospacing="0"/>
        <w:ind w:left="0" w:right="0"/>
        <w:jc w:val="both"/>
        <w:textAlignment w:val="center"/>
        <w:rPr>
          <w:rFonts w:hint="eastAsia" w:ascii="宋体" w:hAnsi="宋体" w:eastAsia="宋体" w:cs="宋体"/>
          <w:sz w:val="24"/>
          <w:szCs w:val="24"/>
          <w:lang w:val="en-US" w:eastAsia="zh-CN"/>
        </w:rPr>
      </w:pPr>
      <w:bookmarkStart w:id="0" w:name="_GoBack"/>
      <w:bookmarkEnd w:id="0"/>
    </w:p>
    <w:sectPr>
      <w:pgSz w:w="11906" w:h="16838"/>
      <w:pgMar w:top="0" w:right="1134" w:bottom="0" w:left="1134" w:header="851" w:footer="992" w:gutter="0"/>
      <w:pgBorders>
        <w:top w:val="none" w:sz="0" w:space="0"/>
        <w:left w:val="none" w:sz="0" w:space="0"/>
        <w:bottom w:val="none" w:sz="0" w:space="0"/>
        <w:right w:val="none" w:sz="0" w:space="0"/>
      </w:pgBorders>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decorative"/>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53C8FE9F-AE60-40A1-9C06-BEF86783F22D}"/>
  </w:font>
  <w:font w:name="黑体">
    <w:panose1 w:val="02010609060101010101"/>
    <w:charset w:val="86"/>
    <w:family w:val="auto"/>
    <w:pitch w:val="default"/>
    <w:sig w:usb0="800002BF" w:usb1="38CF7CFA" w:usb2="00000016" w:usb3="00000000" w:csb0="00040001" w:csb1="00000000"/>
    <w:embedRegular r:id="rId2" w:fontKey="{B49FA533-4C11-40A3-BB03-302CAE81A51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auto"/>
    <w:pitch w:val="default"/>
    <w:sig w:usb0="800002BF" w:usb1="38CF7CFA" w:usb2="00000016" w:usb3="00000000" w:csb0="00040001" w:csb1="00000000"/>
    <w:embedRegular r:id="rId3" w:fontKey="{3AD18153-ABA3-4781-99F0-0E893FB9E718}"/>
  </w:font>
  <w:font w:name="方正小标宋简体">
    <w:panose1 w:val="02000000000000000000"/>
    <w:charset w:val="86"/>
    <w:family w:val="auto"/>
    <w:pitch w:val="default"/>
    <w:sig w:usb0="00000001" w:usb1="080E0000" w:usb2="00000000" w:usb3="00000000" w:csb0="00040000" w:csb1="00000000"/>
    <w:embedRegular r:id="rId4" w:fontKey="{7BF9C614-F4A7-4EB9-B2C3-581732AE9F7C}"/>
  </w:font>
  <w:font w:name="Tahoma">
    <w:panose1 w:val="020B0604030504040204"/>
    <w:charset w:val="00"/>
    <w:family w:val="auto"/>
    <w:pitch w:val="default"/>
    <w:sig w:usb0="E1002EFF" w:usb1="C000605B" w:usb2="00000029" w:usb3="00000000" w:csb0="200101FF" w:csb1="20280000"/>
    <w:embedRegular r:id="rId5" w:fontKey="{B61EACF1-FCEB-4438-828D-DE77741E0545}"/>
  </w:font>
  <w:font w:name="仿宋_GB2312">
    <w:panose1 w:val="02010609030101010101"/>
    <w:charset w:val="86"/>
    <w:family w:val="auto"/>
    <w:pitch w:val="default"/>
    <w:sig w:usb0="00000001" w:usb1="080E0000" w:usb2="00000000" w:usb3="00000000" w:csb0="00040000" w:csb1="00000000"/>
    <w:embedRegular r:id="rId6" w:fontKey="{29B7A27D-6036-4B32-9B76-6BD7349DE0BF}"/>
  </w:font>
  <w:font w:name="楷体_GB2312">
    <w:panose1 w:val="02010609030101010101"/>
    <w:charset w:val="86"/>
    <w:family w:val="auto"/>
    <w:pitch w:val="default"/>
    <w:sig w:usb0="00000001" w:usb1="080E0000" w:usb2="00000000" w:usb3="00000000" w:csb0="00040000" w:csb1="00000000"/>
    <w:embedRegular r:id="rId7" w:fontKey="{779976D7-7D1F-4EA0-A1DA-108D586B2C47}"/>
  </w:font>
  <w:font w:name="仿宋">
    <w:panose1 w:val="02010609060101010101"/>
    <w:charset w:val="86"/>
    <w:family w:val="auto"/>
    <w:pitch w:val="default"/>
    <w:sig w:usb0="800002BF" w:usb1="38CF7CFA" w:usb2="00000016" w:usb3="00000000" w:csb0="00040001" w:csb1="00000000"/>
    <w:embedRegular r:id="rId8" w:fontKey="{466DD1E3-6D51-4157-BEDE-8D44FB7C8741}"/>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50FE0E"/>
    <w:multiLevelType w:val="singleLevel"/>
    <w:tmpl w:val="D150FE0E"/>
    <w:lvl w:ilvl="0" w:tentative="0">
      <w:start w:val="1"/>
      <w:numFmt w:val="chineseCounting"/>
      <w:suff w:val="space"/>
      <w:lvlText w:val="%1、"/>
      <w:lvlJc w:val="left"/>
      <w:pPr>
        <w:ind w:left="642" w:leftChars="0" w:firstLine="0" w:firstLineChars="0"/>
      </w:pPr>
      <w:rPr>
        <w:rFonts w:hint="eastAsia"/>
      </w:rPr>
    </w:lvl>
  </w:abstractNum>
  <w:abstractNum w:abstractNumId="1">
    <w:nsid w:val="13C59010"/>
    <w:multiLevelType w:val="singleLevel"/>
    <w:tmpl w:val="13C59010"/>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706A85"/>
    <w:rsid w:val="005E10E6"/>
    <w:rsid w:val="00965083"/>
    <w:rsid w:val="01986794"/>
    <w:rsid w:val="02576CA3"/>
    <w:rsid w:val="02706A85"/>
    <w:rsid w:val="03151C1F"/>
    <w:rsid w:val="0362657F"/>
    <w:rsid w:val="03F56311"/>
    <w:rsid w:val="060E69D1"/>
    <w:rsid w:val="072859B1"/>
    <w:rsid w:val="0B6A6B8E"/>
    <w:rsid w:val="0BEA391B"/>
    <w:rsid w:val="0C552FCB"/>
    <w:rsid w:val="0F216A46"/>
    <w:rsid w:val="10CD2619"/>
    <w:rsid w:val="153C7AB8"/>
    <w:rsid w:val="153E3968"/>
    <w:rsid w:val="16AD1912"/>
    <w:rsid w:val="16B953D3"/>
    <w:rsid w:val="16F91A40"/>
    <w:rsid w:val="183F3DF2"/>
    <w:rsid w:val="1A2773A2"/>
    <w:rsid w:val="1C23338B"/>
    <w:rsid w:val="1C3F2267"/>
    <w:rsid w:val="1D2B01BB"/>
    <w:rsid w:val="1E06705C"/>
    <w:rsid w:val="20E52F05"/>
    <w:rsid w:val="213F42D9"/>
    <w:rsid w:val="24B172A4"/>
    <w:rsid w:val="25082634"/>
    <w:rsid w:val="25747800"/>
    <w:rsid w:val="25E145B1"/>
    <w:rsid w:val="26066D6F"/>
    <w:rsid w:val="27D81F94"/>
    <w:rsid w:val="2939510A"/>
    <w:rsid w:val="29734D95"/>
    <w:rsid w:val="2BAE641B"/>
    <w:rsid w:val="2C252826"/>
    <w:rsid w:val="2D3939A3"/>
    <w:rsid w:val="2DC918EA"/>
    <w:rsid w:val="2E486582"/>
    <w:rsid w:val="2F355C83"/>
    <w:rsid w:val="3127270B"/>
    <w:rsid w:val="347006D1"/>
    <w:rsid w:val="37AE7266"/>
    <w:rsid w:val="38D5034D"/>
    <w:rsid w:val="3940425E"/>
    <w:rsid w:val="396201FD"/>
    <w:rsid w:val="3BE47691"/>
    <w:rsid w:val="3BE850B6"/>
    <w:rsid w:val="3C1E6B30"/>
    <w:rsid w:val="40784B91"/>
    <w:rsid w:val="42387C37"/>
    <w:rsid w:val="42513ADD"/>
    <w:rsid w:val="458E2C2A"/>
    <w:rsid w:val="46916FD5"/>
    <w:rsid w:val="478C04F1"/>
    <w:rsid w:val="488D5B16"/>
    <w:rsid w:val="48D837A5"/>
    <w:rsid w:val="4AA16DD2"/>
    <w:rsid w:val="4ABA28A7"/>
    <w:rsid w:val="4B6A2D17"/>
    <w:rsid w:val="4DBA31B0"/>
    <w:rsid w:val="520D1EAA"/>
    <w:rsid w:val="528256EC"/>
    <w:rsid w:val="56A00F9E"/>
    <w:rsid w:val="56DB3D0C"/>
    <w:rsid w:val="5B5041DA"/>
    <w:rsid w:val="5BD651AC"/>
    <w:rsid w:val="5BDB7642"/>
    <w:rsid w:val="5E1874F4"/>
    <w:rsid w:val="5EA80A59"/>
    <w:rsid w:val="5F654690"/>
    <w:rsid w:val="63471FFB"/>
    <w:rsid w:val="64522385"/>
    <w:rsid w:val="65AC2DE3"/>
    <w:rsid w:val="66150C06"/>
    <w:rsid w:val="66364E90"/>
    <w:rsid w:val="67EB2D8A"/>
    <w:rsid w:val="681364CD"/>
    <w:rsid w:val="68BF583D"/>
    <w:rsid w:val="68DF6B1A"/>
    <w:rsid w:val="68EB61B0"/>
    <w:rsid w:val="69A2465A"/>
    <w:rsid w:val="708F3C7E"/>
    <w:rsid w:val="7205511E"/>
    <w:rsid w:val="72A624B8"/>
    <w:rsid w:val="72CF4160"/>
    <w:rsid w:val="745A55F3"/>
    <w:rsid w:val="756C0933"/>
    <w:rsid w:val="75916F87"/>
    <w:rsid w:val="7B21178E"/>
    <w:rsid w:val="7DC771C8"/>
    <w:rsid w:val="7DDB7408"/>
    <w:rsid w:val="7DFA443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qFormat/>
    <w:uiPriority w:val="0"/>
  </w:style>
  <w:style w:type="table" w:default="1" w:styleId="7">
    <w:name w:val="Normal Table"/>
    <w:semiHidden/>
    <w:qFormat/>
    <w:uiPriority w:val="0"/>
    <w:pPr>
      <w:widowControl/>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3">
    <w:name w:val="index 5"/>
    <w:basedOn w:val="1"/>
    <w:next w:val="1"/>
    <w:qFormat/>
    <w:uiPriority w:val="0"/>
    <w:pPr>
      <w:ind w:left="1680"/>
    </w:pPr>
  </w:style>
  <w:style w:type="paragraph" w:styleId="4">
    <w:name w:val="footer"/>
    <w:basedOn w:val="1"/>
    <w:next w:val="3"/>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bCs/>
    </w:rPr>
  </w:style>
  <w:style w:type="character" w:styleId="10">
    <w:name w:val="Emphasis"/>
    <w:basedOn w:val="8"/>
    <w:qFormat/>
    <w:uiPriority w:val="0"/>
  </w:style>
  <w:style w:type="character" w:styleId="11">
    <w:name w:val="Hyperlink"/>
    <w:basedOn w:val="8"/>
    <w:qFormat/>
    <w:uiPriority w:val="0"/>
    <w:rPr>
      <w:color w:val="0000FF"/>
      <w:u w:val="none"/>
    </w:rPr>
  </w:style>
  <w:style w:type="character" w:customStyle="1" w:styleId="12">
    <w:name w:val="font11"/>
    <w:basedOn w:val="8"/>
    <w:qFormat/>
    <w:uiPriority w:val="0"/>
    <w:rPr>
      <w:rFonts w:hint="eastAsia" w:ascii="楷体" w:hAnsi="楷体" w:eastAsia="楷体" w:cs="楷体"/>
      <w:color w:val="000000"/>
      <w:sz w:val="19"/>
      <w:szCs w:val="19"/>
      <w:u w:val="none"/>
    </w:rPr>
  </w:style>
  <w:style w:type="character" w:customStyle="1" w:styleId="13">
    <w:name w:val="active1"/>
    <w:basedOn w:val="8"/>
    <w:qFormat/>
    <w:uiPriority w:val="0"/>
    <w:rPr>
      <w:b/>
      <w:bCs/>
      <w:color w:val="347ED4"/>
    </w:rPr>
  </w:style>
  <w:style w:type="character" w:customStyle="1" w:styleId="14">
    <w:name w:val="current2"/>
    <w:basedOn w:val="8"/>
    <w:qFormat/>
    <w:uiPriority w:val="0"/>
    <w:rPr>
      <w:b/>
      <w:bCs/>
      <w:color w:val="FF6500"/>
      <w:bdr w:val="single" w:color="FF6500" w:sz="6" w:space="0"/>
      <w:shd w:val="clear" w:fill="FFBE94"/>
    </w:rPr>
  </w:style>
  <w:style w:type="character" w:customStyle="1" w:styleId="15">
    <w:name w:val="disabled"/>
    <w:basedOn w:val="8"/>
    <w:qFormat/>
    <w:uiPriority w:val="0"/>
    <w:rPr>
      <w:color w:val="FFE3C6"/>
      <w:bdr w:val="single" w:color="FFE3C6" w:sz="6" w:space="0"/>
    </w:rPr>
  </w:style>
  <w:style w:type="paragraph" w:customStyle="1" w:styleId="16">
    <w:name w:val="Char2 Char Char Char Char Char Char"/>
    <w:basedOn w:val="1"/>
    <w:next w:val="4"/>
    <w:unhideWhenUsed/>
    <w:qFormat/>
    <w:uiPriority w:val="0"/>
    <w:pPr>
      <w:autoSpaceDE w:val="0"/>
      <w:autoSpaceDN w:val="0"/>
      <w:adjustRightInd w:val="0"/>
      <w:snapToGrid w:val="0"/>
      <w:spacing w:line="360" w:lineRule="auto"/>
      <w:ind w:firstLine="200" w:firstLineChars="200"/>
    </w:pPr>
    <w:rPr>
      <w:color w:val="00000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2072</Words>
  <Characters>2110</Characters>
  <Lines>0</Lines>
  <Paragraphs>0</Paragraphs>
  <TotalTime>54</TotalTime>
  <ScaleCrop>false</ScaleCrop>
  <LinksUpToDate>false</LinksUpToDate>
  <CharactersWithSpaces>2236</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2019-05-14T06:14:00Z</dcterms:created>
  <dc:creator>Office712</dc:creator>
  <cp:lastModifiedBy>MemoRieS</cp:lastModifiedBy>
  <cp:lastPrinted>2022-01-13T07:37:00Z</cp:lastPrinted>
  <dcterms:modified xsi:type="dcterms:W3CDTF">2022-01-30T07:17:27Z</dcterms:modified>
  <dc:title>市人社局2019年政府信息公开工作年度报告</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838AC2E79ED64640AEA41C924EFC9EBB</vt:lpwstr>
  </property>
</Properties>
</file>