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44"/>
          <w:szCs w:val="44"/>
        </w:rPr>
      </w:pPr>
      <w:r>
        <w:rPr>
          <w:rFonts w:hint="eastAsia" w:ascii="方正小标宋简体" w:hAnsi="方正小标宋简体" w:eastAsia="方正小标宋简体" w:cs="方正小标宋简体"/>
          <w:sz w:val="44"/>
          <w:szCs w:val="44"/>
        </w:rPr>
        <w:t>牡丹江市人民政府办公室202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年政府信息公开工作年度报告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2022年1月25日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中华人民共和国政府信息公开条例》</w:t>
      </w:r>
      <w:r>
        <w:rPr>
          <w:rFonts w:hint="eastAsia" w:ascii="仿宋_GB2312" w:hAnsi="仿宋_GB2312" w:eastAsia="仿宋_GB2312" w:cs="仿宋_GB2312"/>
          <w:sz w:val="32"/>
          <w:szCs w:val="32"/>
          <w:lang w:eastAsia="zh-CN"/>
        </w:rPr>
        <w:t>（以下简称《条例》）《国务</w:t>
      </w:r>
      <w:r>
        <w:rPr>
          <w:rFonts w:hint="eastAsia" w:ascii="仿宋_GB2312" w:hAnsi="仿宋_GB2312" w:eastAsia="仿宋_GB2312" w:cs="仿宋_GB2312"/>
          <w:sz w:val="32"/>
          <w:szCs w:val="32"/>
        </w:rPr>
        <w:t>院办公厅政府信息与政务公开办公室关于印发〈中华人民共和国政府信息公开工作年度报告格式〉的通知》（国办公开办函〔2021〕30号）文件有关规定</w:t>
      </w:r>
      <w:bookmarkStart w:id="0" w:name="_GoBack"/>
      <w:bookmarkEnd w:id="0"/>
      <w:r>
        <w:rPr>
          <w:rFonts w:hint="eastAsia" w:ascii="仿宋_GB2312" w:hAnsi="仿宋_GB2312" w:eastAsia="仿宋_GB2312" w:cs="仿宋_GB2312"/>
          <w:sz w:val="32"/>
          <w:szCs w:val="32"/>
        </w:rPr>
        <w:t>和工作要求，结合市政府办公室政务公开工作实际，</w:t>
      </w:r>
      <w:r>
        <w:rPr>
          <w:rFonts w:hint="eastAsia" w:ascii="仿宋_GB2312" w:hAnsi="仿宋_GB2312" w:eastAsia="仿宋_GB2312" w:cs="仿宋_GB2312"/>
          <w:sz w:val="32"/>
          <w:szCs w:val="32"/>
          <w:lang w:eastAsia="zh-CN"/>
        </w:rPr>
        <w:t>制作本</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统计时间自</w:t>
      </w:r>
      <w:r>
        <w:rPr>
          <w:rFonts w:hint="eastAsia" w:ascii="仿宋_GB2312" w:hAnsi="仿宋_GB2312" w:eastAsia="仿宋_GB2312" w:cs="仿宋_GB2312"/>
          <w:sz w:val="32"/>
          <w:szCs w:val="32"/>
          <w:lang w:val="en-US" w:eastAsia="zh-CN"/>
        </w:rPr>
        <w:t>2021年1月1日至2021年12月31日。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一、总体情况</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年，牡丹江市人民政府办公室坚持以习近平新时代中国特色社会主义思想为指导，认真贯彻落实《黑龙江省人民政府办公厅关于印发黑龙江省</w:t>
      </w:r>
      <w:r>
        <w:rPr>
          <w:rFonts w:hint="eastAsia" w:ascii="仿宋_GB2312" w:hAnsi="仿宋_GB2312" w:eastAsia="仿宋_GB2312" w:cs="仿宋_GB2312"/>
          <w:color w:val="auto"/>
          <w:sz w:val="32"/>
          <w:szCs w:val="32"/>
          <w:lang w:val="en-US" w:eastAsia="zh-CN"/>
        </w:rPr>
        <w:t>2021年政务公开工作实施方案的通知</w:t>
      </w:r>
      <w:r>
        <w:rPr>
          <w:rFonts w:hint="eastAsia" w:ascii="仿宋_GB2312" w:hAnsi="仿宋_GB2312" w:eastAsia="仿宋_GB2312" w:cs="仿宋_GB2312"/>
          <w:color w:val="auto"/>
          <w:sz w:val="32"/>
          <w:szCs w:val="32"/>
          <w:lang w:eastAsia="zh-CN"/>
        </w:rPr>
        <w:t>》（黑政办法[20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lang w:eastAsia="zh-CN"/>
        </w:rPr>
        <w:t>号）和《条例》，结合全市实际，制定《牡丹江市</w:t>
      </w:r>
      <w:r>
        <w:rPr>
          <w:rFonts w:hint="eastAsia" w:ascii="仿宋_GB2312" w:hAnsi="仿宋_GB2312" w:eastAsia="仿宋_GB2312" w:cs="仿宋_GB2312"/>
          <w:color w:val="auto"/>
          <w:sz w:val="32"/>
          <w:szCs w:val="32"/>
          <w:lang w:val="en-US" w:eastAsia="zh-CN"/>
        </w:rPr>
        <w:t>2021年政务公开工作实施方案</w:t>
      </w:r>
      <w:r>
        <w:rPr>
          <w:rFonts w:hint="eastAsia" w:ascii="仿宋_GB2312" w:hAnsi="仿宋_GB2312" w:eastAsia="仿宋_GB2312" w:cs="仿宋_GB2312"/>
          <w:color w:val="auto"/>
          <w:sz w:val="32"/>
          <w:szCs w:val="32"/>
          <w:lang w:eastAsia="zh-CN"/>
        </w:rPr>
        <w:t>》，坚持以人民为中心深化政务公开，充分发挥政务公开在建设法治政府、服务型政府等方面的促进作用，坚持“以公开为常态，不公开为例外”原则，做到“应公开尽公开”，紧紧围绕政策落地聚焦群众需求、夯实基础推进标准规范、强化为民服务等不断深化政务公开，加大信息主动公开力度，增强公开实效，规范政府信息依申请公开，拓宽公开渠道，完善公开平台建设，全力推动全市政务公开和政府信息公开工作取得新成效。</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（一）</w:t>
      </w:r>
      <w:r>
        <w:rPr>
          <w:rFonts w:hint="eastAsia" w:ascii="仿宋_GB2312" w:hAnsi="仿宋_GB2312" w:eastAsia="仿宋_GB2312" w:cs="仿宋_GB2312"/>
          <w:b/>
          <w:bCs/>
          <w:color w:val="auto"/>
          <w:sz w:val="32"/>
          <w:szCs w:val="32"/>
          <w:lang w:eastAsia="zh-CN"/>
        </w:rPr>
        <w:t>精准发力，进一步加大主动公开力度</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eastAsia="zh-CN"/>
        </w:rPr>
        <w:t>紧密围绕牡丹江市工作重点，</w:t>
      </w:r>
      <w:r>
        <w:rPr>
          <w:rFonts w:hint="eastAsia" w:ascii="仿宋_GB2312" w:hAnsi="仿宋_GB2312" w:eastAsia="仿宋_GB2312" w:cs="仿宋_GB2312"/>
          <w:color w:val="auto"/>
          <w:sz w:val="32"/>
          <w:szCs w:val="32"/>
        </w:rPr>
        <w:t>切实</w:t>
      </w:r>
      <w:r>
        <w:rPr>
          <w:rFonts w:hint="eastAsia" w:ascii="仿宋_GB2312" w:hAnsi="仿宋_GB2312" w:eastAsia="仿宋_GB2312" w:cs="仿宋_GB2312"/>
          <w:color w:val="auto"/>
          <w:sz w:val="32"/>
          <w:szCs w:val="32"/>
          <w:lang w:eastAsia="zh-CN"/>
        </w:rPr>
        <w:t>增强公开信息发布的及时性针对性，加强重点领域信息公开，集中公开群众最关心的稳岗就业、义务教育、医疗卫生、生态环境、食品安全、社会保障等方面的政策文件、工作进展、监督检查、政策实施效果等信息，</w:t>
      </w:r>
      <w:r>
        <w:rPr>
          <w:rFonts w:hint="eastAsia" w:ascii="仿宋_GB2312" w:hAnsi="仿宋_GB2312" w:eastAsia="仿宋_GB2312" w:cs="仿宋_GB2312"/>
          <w:color w:val="auto"/>
          <w:sz w:val="32"/>
          <w:szCs w:val="32"/>
        </w:rPr>
        <w:t>不断加大</w:t>
      </w:r>
      <w:r>
        <w:rPr>
          <w:rFonts w:hint="eastAsia" w:ascii="仿宋_GB2312" w:hAnsi="仿宋_GB2312" w:eastAsia="仿宋_GB2312" w:cs="仿宋_GB2312"/>
          <w:color w:val="auto"/>
          <w:sz w:val="32"/>
          <w:szCs w:val="32"/>
          <w:lang w:eastAsia="zh-CN"/>
        </w:rPr>
        <w:t>政府信息主动</w:t>
      </w:r>
      <w:r>
        <w:rPr>
          <w:rFonts w:hint="eastAsia" w:ascii="仿宋_GB2312" w:hAnsi="仿宋_GB2312" w:eastAsia="仿宋_GB2312" w:cs="仿宋_GB2312"/>
          <w:color w:val="auto"/>
          <w:sz w:val="32"/>
          <w:szCs w:val="32"/>
        </w:rPr>
        <w:t>公开力度，全年主动公开以市政府和市政府办公室名义制发的各类文件</w:t>
      </w:r>
      <w:r>
        <w:rPr>
          <w:rFonts w:hint="eastAsia" w:ascii="仿宋_GB2312" w:hAnsi="仿宋_GB2312" w:eastAsia="仿宋_GB2312" w:cs="仿宋_GB2312"/>
          <w:color w:val="auto"/>
          <w:sz w:val="32"/>
          <w:szCs w:val="32"/>
          <w:lang w:val="en-US" w:eastAsia="zh-CN"/>
        </w:rPr>
        <w:t>52</w:t>
      </w:r>
      <w:r>
        <w:rPr>
          <w:rFonts w:hint="eastAsia" w:ascii="仿宋_GB2312" w:hAnsi="仿宋_GB2312" w:eastAsia="仿宋_GB2312" w:cs="仿宋_GB2312"/>
          <w:color w:val="auto"/>
          <w:sz w:val="32"/>
          <w:szCs w:val="32"/>
        </w:rPr>
        <w:t>件，其中，规范性文件</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部。</w:t>
      </w:r>
      <w:r>
        <w:rPr>
          <w:rFonts w:hint="eastAsia" w:ascii="仿宋_GB2312" w:hAnsi="仿宋_GB2312" w:eastAsia="仿宋_GB2312" w:cs="仿宋_GB2312"/>
          <w:color w:val="auto"/>
          <w:sz w:val="32"/>
          <w:szCs w:val="32"/>
          <w:lang w:eastAsia="zh-CN"/>
        </w:rPr>
        <w:t>全年公开</w:t>
      </w:r>
      <w:r>
        <w:rPr>
          <w:rFonts w:hint="eastAsia" w:ascii="仿宋_GB2312" w:hAnsi="仿宋_GB2312" w:eastAsia="仿宋_GB2312" w:cs="仿宋_GB2312"/>
          <w:color w:val="auto"/>
          <w:sz w:val="32"/>
          <w:szCs w:val="32"/>
        </w:rPr>
        <w:t>涉及疫情防控的</w:t>
      </w:r>
      <w:r>
        <w:rPr>
          <w:rFonts w:hint="eastAsia" w:ascii="仿宋_GB2312" w:hAnsi="仿宋_GB2312" w:eastAsia="仿宋_GB2312" w:cs="仿宋_GB2312"/>
          <w:color w:val="auto"/>
          <w:sz w:val="32"/>
          <w:szCs w:val="32"/>
          <w:lang w:eastAsia="zh-CN"/>
        </w:rPr>
        <w:t>权威通告</w:t>
      </w:r>
      <w:r>
        <w:rPr>
          <w:rFonts w:hint="eastAsia" w:ascii="仿宋_GB2312" w:hAnsi="仿宋_GB2312" w:eastAsia="仿宋_GB2312" w:cs="仿宋_GB2312"/>
          <w:color w:val="auto"/>
          <w:sz w:val="32"/>
          <w:szCs w:val="32"/>
          <w:lang w:val="en-US" w:eastAsia="zh-CN"/>
        </w:rPr>
        <w:t>37件，</w:t>
      </w:r>
      <w:r>
        <w:rPr>
          <w:rFonts w:hint="eastAsia" w:ascii="仿宋_GB2312" w:hAnsi="仿宋_GB2312" w:eastAsia="仿宋_GB2312" w:cs="仿宋_GB2312"/>
          <w:color w:val="auto"/>
          <w:sz w:val="32"/>
          <w:szCs w:val="32"/>
        </w:rPr>
        <w:t>各类预警、通知、动态等文件</w:t>
      </w:r>
      <w:r>
        <w:rPr>
          <w:rFonts w:hint="eastAsia" w:ascii="仿宋_GB2312" w:hAnsi="仿宋_GB2312" w:eastAsia="仿宋_GB2312" w:cs="仿宋_GB2312"/>
          <w:color w:val="auto"/>
          <w:sz w:val="32"/>
          <w:szCs w:val="32"/>
          <w:lang w:val="en-US" w:eastAsia="zh-CN"/>
        </w:rPr>
        <w:t>226</w:t>
      </w:r>
      <w:r>
        <w:rPr>
          <w:rFonts w:hint="eastAsia" w:ascii="仿宋_GB2312" w:hAnsi="仿宋_GB2312" w:eastAsia="仿宋_GB2312" w:cs="仿宋_GB2312"/>
          <w:color w:val="auto"/>
          <w:sz w:val="32"/>
          <w:szCs w:val="32"/>
        </w:rPr>
        <w:t>件。</w:t>
      </w:r>
      <w:r>
        <w:rPr>
          <w:rFonts w:hint="eastAsia" w:ascii="仿宋_GB2312" w:hAnsi="宋体" w:eastAsia="仿宋_GB2312" w:cs="仿宋_GB2312"/>
          <w:b w:val="0"/>
          <w:i w:val="0"/>
          <w:caps w:val="0"/>
          <w:color w:val="auto"/>
          <w:spacing w:val="0"/>
          <w:w w:val="100"/>
          <w:sz w:val="32"/>
          <w:szCs w:val="32"/>
          <w:shd w:val="clear" w:color="auto" w:fill="FFFFFF"/>
          <w:lang w:val="en-US" w:eastAsia="zh-CN"/>
        </w:rPr>
        <w:t>全年共编发《牡丹江市人民政府公报》6期，刊发市政府和部门文件等62件，</w:t>
      </w:r>
      <w:r>
        <w:rPr>
          <w:rFonts w:hint="eastAsia" w:ascii="仿宋_GB2312" w:hAnsi="仿宋_GB2312" w:eastAsia="仿宋_GB2312" w:cs="仿宋_GB2312"/>
          <w:color w:val="auto"/>
          <w:sz w:val="32"/>
          <w:szCs w:val="32"/>
        </w:rPr>
        <w:t>并按要求定期通过市政府网站、市图书馆、市档案馆等</w:t>
      </w:r>
      <w:r>
        <w:rPr>
          <w:rFonts w:hint="eastAsia" w:ascii="仿宋_GB2312" w:hAnsi="仿宋_GB2312" w:eastAsia="仿宋_GB2312" w:cs="仿宋_GB2312"/>
          <w:color w:val="auto"/>
          <w:sz w:val="32"/>
          <w:szCs w:val="32"/>
          <w:lang w:eastAsia="zh-CN"/>
        </w:rPr>
        <w:t>渠道</w:t>
      </w:r>
      <w:r>
        <w:rPr>
          <w:rFonts w:hint="eastAsia" w:ascii="仿宋_GB2312" w:hAnsi="仿宋_GB2312" w:eastAsia="仿宋_GB2312" w:cs="仿宋_GB2312"/>
          <w:color w:val="auto"/>
          <w:sz w:val="32"/>
          <w:szCs w:val="32"/>
        </w:rPr>
        <w:t>向社会大众主动公开。</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b/>
          <w:bCs/>
          <w:color w:val="auto"/>
          <w:sz w:val="32"/>
          <w:szCs w:val="32"/>
        </w:rPr>
        <w:t>（二）</w:t>
      </w:r>
      <w:r>
        <w:rPr>
          <w:rFonts w:hint="eastAsia" w:ascii="仿宋_GB2312" w:hAnsi="仿宋_GB2312" w:eastAsia="仿宋_GB2312" w:cs="仿宋_GB2312"/>
          <w:b/>
          <w:bCs/>
          <w:color w:val="auto"/>
          <w:sz w:val="32"/>
          <w:szCs w:val="32"/>
          <w:lang w:eastAsia="zh-CN"/>
        </w:rPr>
        <w:t>积极审慎，进一步规范依申请公开工作</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eastAsia="zh-CN"/>
        </w:rPr>
        <w:t>严格按照《条例》规定，强化服务理念，把依申请工作作为服务人民群众生产生活、支持市场主体创业创新的重要方式，更好满足申请人对政府信息的个性化合理需求。参照国务院办公厅政府信息公开申请办理答复有关规范，提升答复文书规范化水平，实现最大限度向申请人提供相关信息，满足人民群众知情权，维护政府公信力。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年，共受理向牡丹江市人民政府及牡丹江市人民政府办公室提出的各类政府信息公开申请</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lang w:eastAsia="zh-CN"/>
        </w:rPr>
        <w:t>件，全部按时限办结。本年度，市政府办政府信息依申请公开件受理率和法定期限内答复率均达到100%。</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default" w:ascii="仿宋_GB2312" w:hAnsi="宋体" w:eastAsia="仿宋_GB2312" w:cs="仿宋_GB2312"/>
          <w:b w:val="0"/>
          <w:i w:val="0"/>
          <w:caps w:val="0"/>
          <w:color w:val="auto"/>
          <w:spacing w:val="0"/>
          <w:w w:val="100"/>
          <w:sz w:val="32"/>
          <w:szCs w:val="32"/>
          <w:shd w:val="clear" w:color="auto" w:fill="FFFFFF"/>
          <w:lang w:val="en-US" w:eastAsia="zh-CN"/>
        </w:rPr>
      </w:pPr>
      <w:r>
        <w:rPr>
          <w:rFonts w:hint="eastAsia" w:ascii="仿宋_GB2312" w:hAnsi="仿宋_GB2312" w:eastAsia="仿宋_GB2312" w:cs="仿宋_GB2312"/>
          <w:b/>
          <w:bCs/>
          <w:color w:val="auto"/>
          <w:sz w:val="32"/>
          <w:szCs w:val="32"/>
        </w:rPr>
        <w:t>（三）</w:t>
      </w:r>
      <w:r>
        <w:rPr>
          <w:rFonts w:hint="eastAsia" w:ascii="仿宋_GB2312" w:hAnsi="仿宋_GB2312" w:eastAsia="仿宋_GB2312" w:cs="仿宋_GB2312"/>
          <w:b/>
          <w:bCs/>
          <w:color w:val="auto"/>
          <w:sz w:val="32"/>
          <w:szCs w:val="32"/>
          <w:lang w:eastAsia="zh-CN"/>
        </w:rPr>
        <w:t>广开门路，进一步拓宽公开信息渠道</w:t>
      </w:r>
      <w:r>
        <w:rPr>
          <w:rFonts w:hint="eastAsia" w:ascii="仿宋_GB2312" w:hAnsi="仿宋_GB2312" w:eastAsia="仿宋_GB2312" w:cs="仿宋_GB2312"/>
          <w:b/>
          <w:bCs/>
          <w:color w:val="auto"/>
          <w:sz w:val="32"/>
          <w:szCs w:val="32"/>
        </w:rPr>
        <w:t>。</w:t>
      </w:r>
      <w:r>
        <w:rPr>
          <w:rFonts w:hint="eastAsia" w:ascii="仿宋_GB2312" w:hAnsi="宋体" w:eastAsia="仿宋_GB2312" w:cs="仿宋_GB2312"/>
          <w:b w:val="0"/>
          <w:i w:val="0"/>
          <w:caps w:val="0"/>
          <w:color w:val="auto"/>
          <w:spacing w:val="0"/>
          <w:w w:val="100"/>
          <w:sz w:val="32"/>
          <w:szCs w:val="32"/>
          <w:shd w:val="clear" w:color="auto" w:fill="FFFFFF"/>
          <w:lang w:val="en-US" w:eastAsia="zh-CN"/>
        </w:rPr>
        <w:t>建立了牡丹江市人民政府专属微信公众号，名称为“牡丹江政务”。为加强政务微信公众号运营管理，制定了《牡丹江市人民政府微信公众号管理制度》，指定了专人负责运营管理，明确了信息发布流程，规范了信息审核制度。</w:t>
      </w:r>
      <w:r>
        <w:rPr>
          <w:rFonts w:hint="eastAsia" w:ascii="仿宋_GB2312" w:hAnsi="宋体" w:eastAsia="仿宋_GB2312" w:cs="仿宋_GB2312"/>
          <w:b w:val="0"/>
          <w:i w:val="0"/>
          <w:caps w:val="0"/>
          <w:color w:val="000000"/>
          <w:spacing w:val="0"/>
          <w:w w:val="100"/>
          <w:sz w:val="32"/>
          <w:szCs w:val="32"/>
          <w:shd w:val="clear" w:color="auto" w:fill="FFFFFF"/>
          <w:lang w:val="en-US" w:eastAsia="zh-CN"/>
        </w:rPr>
        <w:t>2021年11月29日公众号正式运行，</w:t>
      </w:r>
      <w:r>
        <w:rPr>
          <w:rFonts w:hint="eastAsia" w:ascii="仿宋_GB2312" w:hAnsi="宋体" w:eastAsia="仿宋_GB2312" w:cs="仿宋_GB2312"/>
          <w:b w:val="0"/>
          <w:i w:val="0"/>
          <w:caps w:val="0"/>
          <w:color w:val="auto"/>
          <w:spacing w:val="0"/>
          <w:w w:val="100"/>
          <w:sz w:val="32"/>
          <w:szCs w:val="32"/>
          <w:shd w:val="clear" w:color="auto" w:fill="FFFFFF"/>
          <w:lang w:val="en-US" w:eastAsia="zh-CN"/>
        </w:rPr>
        <w:t>建立一个月关注数达26000余人，发布信息45期近200条，运营状态健康良好，极大提高了政府信息公开水平。</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b w:val="0"/>
          <w:i w:val="0"/>
          <w:caps w:val="0"/>
          <w:color w:val="FF0000"/>
          <w:spacing w:val="0"/>
          <w:w w:val="100"/>
          <w:sz w:val="32"/>
          <w:szCs w:val="32"/>
          <w:lang w:val="en-US" w:eastAsia="zh-CN"/>
        </w:rPr>
      </w:pPr>
      <w:r>
        <w:rPr>
          <w:rFonts w:hint="eastAsia" w:ascii="仿宋_GB2312" w:hAnsi="仿宋_GB2312" w:eastAsia="仿宋_GB2312" w:cs="仿宋_GB2312"/>
          <w:b/>
          <w:bCs/>
          <w:color w:val="auto"/>
          <w:sz w:val="32"/>
          <w:szCs w:val="32"/>
        </w:rPr>
        <w:t>（四）</w:t>
      </w:r>
      <w:r>
        <w:rPr>
          <w:rFonts w:hint="eastAsia" w:ascii="仿宋_GB2312" w:hAnsi="仿宋_GB2312" w:eastAsia="仿宋_GB2312" w:cs="仿宋_GB2312"/>
          <w:b/>
          <w:bCs/>
          <w:color w:val="auto"/>
          <w:sz w:val="32"/>
          <w:szCs w:val="32"/>
          <w:lang w:eastAsia="zh-CN"/>
        </w:rPr>
        <w:t>夯基垒台，进一步完善公开平台建设</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eastAsia="zh-CN"/>
        </w:rPr>
        <w:t>完成市本级政府网站的政府信息公开专栏改版及内容完善工作，及时、准确、有效的将需要通过市本级政府网站公开的政府信息内容向社会公布</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i w:val="0"/>
          <w:caps w:val="0"/>
          <w:color w:val="0D0509"/>
          <w:spacing w:val="0"/>
          <w:sz w:val="32"/>
          <w:szCs w:val="32"/>
          <w:shd w:val="clear" w:color="auto" w:fill="FFFFFF"/>
          <w:lang w:val="en-US" w:eastAsia="zh-CN"/>
        </w:rPr>
        <w:t>按照《关于做好规章集中公开并动态更新工作的通知》（国办公开办函</w:t>
      </w:r>
      <w:r>
        <w:rPr>
          <w:rFonts w:hint="eastAsia" w:ascii="仿宋_GB2312" w:hAnsi="仿宋_GB2312" w:eastAsia="仿宋_GB2312" w:cs="仿宋_GB2312"/>
          <w:sz w:val="32"/>
          <w:szCs w:val="32"/>
        </w:rPr>
        <w:t>〔2021〕</w:t>
      </w:r>
      <w:r>
        <w:rPr>
          <w:rFonts w:hint="eastAsia" w:ascii="仿宋_GB2312" w:hAnsi="仿宋_GB2312" w:eastAsia="仿宋_GB2312" w:cs="仿宋_GB2312"/>
          <w:sz w:val="32"/>
          <w:szCs w:val="32"/>
          <w:lang w:val="en-US" w:eastAsia="zh-CN"/>
        </w:rPr>
        <w:t>33号</w:t>
      </w:r>
      <w:r>
        <w:rPr>
          <w:rFonts w:hint="eastAsia" w:ascii="仿宋_GB2312" w:hAnsi="仿宋_GB2312" w:eastAsia="仿宋_GB2312" w:cs="仿宋_GB2312"/>
          <w:i w:val="0"/>
          <w:caps w:val="0"/>
          <w:color w:val="0D0509"/>
          <w:spacing w:val="0"/>
          <w:sz w:val="32"/>
          <w:szCs w:val="32"/>
          <w:shd w:val="clear" w:color="auto" w:fill="FFFFFF"/>
          <w:lang w:val="en-US" w:eastAsia="zh-CN"/>
        </w:rPr>
        <w:t>）</w:t>
      </w:r>
      <w:r>
        <w:rPr>
          <w:rFonts w:hint="eastAsia" w:ascii="仿宋_GB2312" w:hAnsi="仿宋_GB2312" w:eastAsia="仿宋_GB2312" w:cs="仿宋_GB2312"/>
          <w:sz w:val="32"/>
          <w:szCs w:val="32"/>
          <w:lang w:val="en-US" w:eastAsia="zh-CN"/>
        </w:rPr>
        <w:t>文件要求，完成现有牡丹江市政府政府信息公开首页改版、模板制作工作，建立了规章库。</w:t>
      </w:r>
      <w:r>
        <w:rPr>
          <w:rFonts w:hint="eastAsia" w:ascii="仿宋_GB2312" w:hAnsi="仿宋_GB2312" w:eastAsia="仿宋_GB2312" w:cs="仿宋_GB2312"/>
          <w:color w:val="auto"/>
          <w:sz w:val="32"/>
          <w:szCs w:val="32"/>
          <w:lang w:val="en-US" w:eastAsia="zh-CN"/>
        </w:rPr>
        <w:t>规范全市各级各部门政务新媒体开设、变更、关停申请流程，加强政务新媒体报送系统管理，严格审核新媒体账</w:t>
      </w:r>
      <w:r>
        <w:rPr>
          <w:rFonts w:hint="eastAsia" w:ascii="仿宋_GB2312" w:hAnsi="仿宋_GB2312" w:eastAsia="仿宋_GB2312" w:cs="仿宋_GB2312"/>
          <w:b w:val="0"/>
          <w:i w:val="0"/>
          <w:caps w:val="0"/>
          <w:color w:val="auto"/>
          <w:spacing w:val="0"/>
          <w:w w:val="100"/>
          <w:sz w:val="32"/>
          <w:szCs w:val="32"/>
          <w:lang w:val="en-US" w:eastAsia="zh-CN"/>
        </w:rPr>
        <w:t>号信息。按照国办、省办下发的政务新媒体问题清单，对存在的问题及时整改，全年共计整改了政务新媒体问题账号200余个，录入系统账号175个、名称变更账号7个、关停账号40个。</w:t>
      </w:r>
    </w:p>
    <w:p>
      <w:pPr>
        <w:keepNext w:val="0"/>
        <w:keepLines w:val="0"/>
        <w:pageBreakBefore w:val="0"/>
        <w:shd w:val="clear"/>
        <w:kinsoku/>
        <w:wordWrap/>
        <w:overflowPunct/>
        <w:topLinePunct w:val="0"/>
        <w:autoSpaceDE/>
        <w:autoSpaceDN/>
        <w:bidi w:val="0"/>
        <w:adjustRightInd/>
        <w:snapToGrid/>
        <w:spacing w:line="600" w:lineRule="exact"/>
        <w:ind w:firstLine="640"/>
        <w:textAlignment w:val="auto"/>
        <w:rPr>
          <w:rFonts w:hint="eastAsia" w:ascii="黑体" w:hAnsi="黑体" w:eastAsia="黑体" w:cs="黑体"/>
          <w:b w:val="0"/>
          <w:i w:val="0"/>
          <w:caps w:val="0"/>
          <w:color w:val="auto"/>
          <w:spacing w:val="0"/>
          <w:w w:val="100"/>
          <w:sz w:val="32"/>
          <w:szCs w:val="32"/>
          <w:shd w:val="clear" w:color="auto" w:fill="FFFFFF"/>
          <w:lang w:val="en-US" w:eastAsia="zh-CN"/>
        </w:rPr>
      </w:pPr>
      <w:r>
        <w:rPr>
          <w:rFonts w:hint="eastAsia" w:ascii="黑体" w:hAnsi="黑体" w:eastAsia="黑体" w:cs="黑体"/>
          <w:b w:val="0"/>
          <w:i w:val="0"/>
          <w:caps w:val="0"/>
          <w:color w:val="auto"/>
          <w:spacing w:val="0"/>
          <w:w w:val="100"/>
          <w:sz w:val="32"/>
          <w:szCs w:val="32"/>
          <w:shd w:val="clear" w:color="auto" w:fill="FFFFFF"/>
          <w:lang w:val="en-US" w:eastAsia="zh-CN"/>
        </w:rPr>
        <w:t>二、主动公开政府信息情况</w:t>
      </w:r>
    </w:p>
    <w:tbl>
      <w:tblPr>
        <w:tblStyle w:val="3"/>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信息内容</w:t>
            </w:r>
          </w:p>
        </w:tc>
        <w:tc>
          <w:tcPr>
            <w:tcW w:w="243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本年</w:t>
            </w:r>
            <w:r>
              <w:rPr>
                <w:rFonts w:hint="eastAsia" w:ascii="仿宋_GB2312" w:hAnsi="仿宋_GB2312" w:eastAsia="仿宋_GB2312" w:cs="仿宋_GB2312"/>
                <w:i w:val="0"/>
                <w:iCs w:val="0"/>
                <w:caps w:val="0"/>
                <w:color w:val="333333"/>
                <w:spacing w:val="0"/>
                <w:sz w:val="30"/>
                <w:szCs w:val="30"/>
              </w:rPr>
              <w:t>制发件数</w:t>
            </w:r>
          </w:p>
        </w:tc>
        <w:tc>
          <w:tcPr>
            <w:tcW w:w="243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本年废止件数</w:t>
            </w:r>
          </w:p>
        </w:tc>
        <w:tc>
          <w:tcPr>
            <w:tcW w:w="2445"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现行有效件</w:t>
            </w:r>
            <w:r>
              <w:rPr>
                <w:rFonts w:hint="eastAsia" w:ascii="仿宋_GB2312" w:hAnsi="仿宋_GB2312" w:eastAsia="仿宋_GB2312" w:cs="仿宋_GB2312"/>
                <w:i w:val="0"/>
                <w:iCs w:val="0"/>
                <w:caps w:val="0"/>
                <w:color w:val="333333"/>
                <w:spacing w:val="0"/>
                <w:sz w:val="30"/>
                <w:szCs w:val="30"/>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规章</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244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行政规范性文件</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7</w:t>
            </w:r>
          </w:p>
        </w:tc>
        <w:tc>
          <w:tcPr>
            <w:tcW w:w="244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125</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信息内容</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行政许可</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信息内容</w:t>
            </w:r>
          </w:p>
        </w:tc>
        <w:tc>
          <w:tcPr>
            <w:tcW w:w="7305" w:type="dxa"/>
            <w:gridSpan w:val="3"/>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行政处罚</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行政强制</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信息内容</w:t>
            </w:r>
          </w:p>
        </w:tc>
        <w:tc>
          <w:tcPr>
            <w:tcW w:w="7305"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000000"/>
                <w:spacing w:val="0"/>
                <w:sz w:val="30"/>
                <w:szCs w:val="30"/>
              </w:rPr>
              <w:t>行政事业性收费</w:t>
            </w:r>
          </w:p>
        </w:tc>
        <w:tc>
          <w:tcPr>
            <w:tcW w:w="7305"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bl>
    <w:p>
      <w:pPr>
        <w:keepNext w:val="0"/>
        <w:keepLines w:val="0"/>
        <w:pageBreakBefore w:val="0"/>
        <w:numPr>
          <w:ilvl w:val="0"/>
          <w:numId w:val="1"/>
        </w:numPr>
        <w:shd w:val="clear"/>
        <w:kinsoku/>
        <w:wordWrap/>
        <w:overflowPunct/>
        <w:topLinePunct w:val="0"/>
        <w:autoSpaceDE/>
        <w:autoSpaceDN/>
        <w:bidi w:val="0"/>
        <w:adjustRightInd/>
        <w:snapToGrid/>
        <w:spacing w:line="600" w:lineRule="exact"/>
        <w:ind w:firstLine="640"/>
        <w:textAlignment w:val="auto"/>
        <w:rPr>
          <w:rFonts w:hint="eastAsia" w:ascii="黑体" w:hAnsi="黑体" w:eastAsia="黑体" w:cs="黑体"/>
          <w:b w:val="0"/>
          <w:i w:val="0"/>
          <w:caps w:val="0"/>
          <w:color w:val="auto"/>
          <w:spacing w:val="0"/>
          <w:w w:val="100"/>
          <w:sz w:val="32"/>
          <w:szCs w:val="32"/>
          <w:shd w:val="clear" w:color="auto" w:fill="FFFFFF"/>
          <w:lang w:val="en-US" w:eastAsia="zh-CN"/>
        </w:rPr>
      </w:pPr>
      <w:r>
        <w:rPr>
          <w:rFonts w:hint="eastAsia" w:ascii="黑体" w:hAnsi="黑体" w:eastAsia="黑体" w:cs="黑体"/>
          <w:b w:val="0"/>
          <w:i w:val="0"/>
          <w:caps w:val="0"/>
          <w:color w:val="auto"/>
          <w:spacing w:val="0"/>
          <w:w w:val="100"/>
          <w:sz w:val="32"/>
          <w:szCs w:val="32"/>
          <w:shd w:val="clear" w:color="auto" w:fill="FFFFFF"/>
          <w:lang w:val="en-US" w:eastAsia="zh-CN"/>
        </w:rPr>
        <w:t>收到和处理政府信息公开申请情况</w:t>
      </w:r>
    </w:p>
    <w:tbl>
      <w:tblPr>
        <w:tblStyle w:val="3"/>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74"/>
        <w:gridCol w:w="1020"/>
        <w:gridCol w:w="3131"/>
        <w:gridCol w:w="689"/>
        <w:gridCol w:w="689"/>
        <w:gridCol w:w="689"/>
        <w:gridCol w:w="689"/>
        <w:gridCol w:w="689"/>
        <w:gridCol w:w="690"/>
        <w:gridCol w:w="69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720"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自然人</w:t>
            </w:r>
          </w:p>
        </w:tc>
        <w:tc>
          <w:tcPr>
            <w:tcW w:w="3570"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法人或其他组织</w:t>
            </w:r>
          </w:p>
        </w:tc>
        <w:tc>
          <w:tcPr>
            <w:tcW w:w="720"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720"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商业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企业</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科研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机构</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社会公益组织</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法律服务机构</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其他</w:t>
            </w:r>
          </w:p>
        </w:tc>
        <w:tc>
          <w:tcPr>
            <w:tcW w:w="720"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一、本年新收政府信息公开申请数量</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17</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17</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二、上年结转政府信息公开申请数量</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三、本年度办理结果</w:t>
            </w: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（一）予以公开</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2</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（二）部分公开（区分处理的，只计这一情形，不计其他情形）</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3</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（三）不予公开</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1.属于国家秘密</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2.其他法律行政法规禁止公开</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3.危及“三安全一稳定”</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4.保护第三方合法权益</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5.属于三类内部事务信息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6.属于四类过程性信息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7.属于行政执法案卷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8.属于行政查询事项</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623" w:hRule="atLeast"/>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（四）无法提供</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1.本机关不掌握相关政府信息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12</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default" w:ascii="仿宋_GB2312" w:hAnsi="仿宋_GB2312" w:eastAsia="仿宋_GB2312" w:cs="仿宋_GB2312"/>
                <w:i w:val="0"/>
                <w:iCs w:val="0"/>
                <w:caps w:val="0"/>
                <w:color w:val="333333"/>
                <w:spacing w:val="0"/>
                <w:sz w:val="30"/>
                <w:szCs w:val="30"/>
                <w:lang w:val="en-US"/>
              </w:rPr>
            </w:pPr>
            <w:r>
              <w:rPr>
                <w:rFonts w:hint="eastAsia" w:ascii="仿宋_GB2312" w:hAnsi="仿宋_GB2312" w:eastAsia="仿宋_GB2312" w:cs="仿宋_GB2312"/>
                <w:i w:val="0"/>
                <w:iCs w:val="0"/>
                <w:caps w:val="0"/>
                <w:color w:val="333333"/>
                <w:spacing w:val="0"/>
                <w:sz w:val="30"/>
                <w:szCs w:val="30"/>
                <w:lang w:val="en-US" w:eastAsia="zh-CN"/>
              </w:rPr>
              <w:t>12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2.没有现成信息需要另行制作</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3.补正后申请内容仍不明确</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（五）不予处理</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1.信访举报投诉类申请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11" w:hRule="atLeast"/>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2.重复申请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3.要求提供公开出版物</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4.无正当理由大量反复申请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5.要求行政机关确认或重新出具已获取信息</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（六）其他处理</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960"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3.其他</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0"/>
                <w:szCs w:val="30"/>
              </w:rPr>
            </w:pP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（七）总计</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18</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18</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811" w:hRule="atLeast"/>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rPr>
              <w:t>四、结转下年度继续办理</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0"/>
                <w:szCs w:val="30"/>
                <w:lang w:val="en-US" w:eastAsia="zh-CN"/>
              </w:rPr>
            </w:pPr>
            <w:r>
              <w:rPr>
                <w:rFonts w:hint="eastAsia" w:ascii="仿宋_GB2312" w:hAnsi="仿宋_GB2312" w:eastAsia="仿宋_GB2312" w:cs="仿宋_GB2312"/>
                <w:i w:val="0"/>
                <w:iCs w:val="0"/>
                <w:caps w:val="0"/>
                <w:color w:val="333333"/>
                <w:spacing w:val="0"/>
                <w:sz w:val="30"/>
                <w:szCs w:val="30"/>
                <w:lang w:val="en-US" w:eastAsia="zh-CN"/>
              </w:rPr>
              <w:t>0</w:t>
            </w:r>
          </w:p>
        </w:tc>
      </w:tr>
    </w:tbl>
    <w:p>
      <w:pPr>
        <w:keepNext w:val="0"/>
        <w:keepLines w:val="0"/>
        <w:pageBreakBefore w:val="0"/>
        <w:shd w:val="clear"/>
        <w:kinsoku/>
        <w:wordWrap/>
        <w:overflowPunct/>
        <w:topLinePunct w:val="0"/>
        <w:autoSpaceDE/>
        <w:autoSpaceDN/>
        <w:bidi w:val="0"/>
        <w:adjustRightInd/>
        <w:snapToGrid/>
        <w:spacing w:line="600" w:lineRule="exact"/>
        <w:ind w:firstLine="640"/>
        <w:textAlignment w:val="auto"/>
        <w:rPr>
          <w:rFonts w:hint="eastAsia" w:ascii="黑体" w:hAnsi="黑体" w:eastAsia="黑体" w:cs="黑体"/>
          <w:b w:val="0"/>
          <w:i w:val="0"/>
          <w:caps w:val="0"/>
          <w:color w:val="auto"/>
          <w:spacing w:val="0"/>
          <w:w w:val="100"/>
          <w:sz w:val="32"/>
          <w:szCs w:val="32"/>
          <w:shd w:val="clear" w:color="auto" w:fill="FFFFFF"/>
          <w:lang w:val="en-US" w:eastAsia="zh-CN"/>
        </w:rPr>
      </w:pPr>
      <w:r>
        <w:rPr>
          <w:rFonts w:hint="eastAsia" w:ascii="黑体" w:hAnsi="黑体" w:eastAsia="黑体" w:cs="黑体"/>
          <w:b w:val="0"/>
          <w:i w:val="0"/>
          <w:caps w:val="0"/>
          <w:color w:val="auto"/>
          <w:spacing w:val="0"/>
          <w:w w:val="100"/>
          <w:sz w:val="32"/>
          <w:szCs w:val="32"/>
          <w:shd w:val="clear" w:color="auto" w:fill="FFFFFF"/>
          <w:lang w:val="en-US" w:eastAsia="zh-CN"/>
        </w:rPr>
        <w:t>四、政府信息公开行政复议、行政诉讼情况</w:t>
      </w:r>
    </w:p>
    <w:tbl>
      <w:tblPr>
        <w:tblStyle w:val="3"/>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其他</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尚未</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2"/>
                <w:szCs w:val="32"/>
              </w:rPr>
            </w:pPr>
          </w:p>
        </w:tc>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shd w:val="clear"/>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iCs w:val="0"/>
                <w:caps w:val="0"/>
                <w:color w:val="333333"/>
                <w:spacing w:val="0"/>
                <w:sz w:val="32"/>
                <w:szCs w:val="32"/>
              </w:rPr>
            </w:pP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维持</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其他</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尚未</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结果</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其他</w:t>
            </w:r>
            <w:r>
              <w:rPr>
                <w:rFonts w:hint="eastAsia" w:ascii="仿宋_GB2312" w:hAnsi="仿宋_GB2312" w:eastAsia="仿宋_GB2312" w:cs="仿宋_GB2312"/>
                <w:i w:val="0"/>
                <w:iCs w:val="0"/>
                <w:caps w:val="0"/>
                <w:color w:val="000000"/>
                <w:spacing w:val="0"/>
                <w:sz w:val="32"/>
                <w:szCs w:val="32"/>
              </w:rPr>
              <w:br w:type="textWrapping"/>
            </w:r>
            <w:r>
              <w:rPr>
                <w:rFonts w:hint="eastAsia" w:ascii="仿宋_GB2312" w:hAnsi="仿宋_GB2312" w:eastAsia="仿宋_GB2312" w:cs="仿宋_GB2312"/>
                <w:i w:val="0"/>
                <w:iCs w:val="0"/>
                <w:caps w:val="0"/>
                <w:color w:val="000000"/>
                <w:spacing w:val="0"/>
                <w:sz w:val="32"/>
                <w:szCs w:val="32"/>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rPr>
              <w:t>尚未</w:t>
            </w:r>
            <w:r>
              <w:rPr>
                <w:rFonts w:hint="eastAsia" w:ascii="仿宋_GB2312" w:hAnsi="仿宋_GB2312" w:eastAsia="仿宋_GB2312" w:cs="仿宋_GB2312"/>
                <w:i w:val="0"/>
                <w:iCs w:val="0"/>
                <w:caps w:val="0"/>
                <w:color w:val="333333"/>
                <w:spacing w:val="0"/>
                <w:sz w:val="32"/>
                <w:szCs w:val="32"/>
              </w:rPr>
              <w:br w:type="textWrapping"/>
            </w:r>
            <w:r>
              <w:rPr>
                <w:rFonts w:hint="eastAsia" w:ascii="仿宋_GB2312" w:hAnsi="仿宋_GB2312" w:eastAsia="仿宋_GB2312" w:cs="仿宋_GB2312"/>
                <w:i w:val="0"/>
                <w:iCs w:val="0"/>
                <w:caps w:val="0"/>
                <w:color w:val="333333"/>
                <w:spacing w:val="0"/>
                <w:sz w:val="32"/>
                <w:szCs w:val="32"/>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0</w:t>
            </w:r>
          </w:p>
        </w:tc>
      </w:tr>
    </w:tbl>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黑体" w:hAnsi="黑体" w:eastAsia="黑体" w:cs="黑体"/>
          <w:b w:val="0"/>
          <w:i w:val="0"/>
          <w:caps w:val="0"/>
          <w:color w:val="auto"/>
          <w:spacing w:val="0"/>
          <w:w w:val="100"/>
          <w:sz w:val="32"/>
          <w:szCs w:val="32"/>
          <w:shd w:val="clear" w:color="auto" w:fill="FFFFFF"/>
          <w:lang w:val="en-US" w:eastAsia="zh-CN"/>
        </w:rPr>
      </w:pPr>
      <w:r>
        <w:rPr>
          <w:rFonts w:hint="eastAsia" w:ascii="黑体" w:hAnsi="黑体" w:eastAsia="黑体" w:cs="黑体"/>
          <w:b w:val="0"/>
          <w:i w:val="0"/>
          <w:caps w:val="0"/>
          <w:color w:val="auto"/>
          <w:spacing w:val="0"/>
          <w:w w:val="100"/>
          <w:sz w:val="32"/>
          <w:szCs w:val="32"/>
          <w:shd w:val="clear" w:color="auto" w:fill="FFFFFF"/>
          <w:lang w:val="en-US" w:eastAsia="zh-CN"/>
        </w:rPr>
        <w:t>五、存在的主要问题及改进措施</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hAnsi="宋体" w:eastAsia="仿宋_GB2312" w:cs="仿宋_GB2312"/>
          <w:b w:val="0"/>
          <w:i w:val="0"/>
          <w:caps w:val="0"/>
          <w:color w:val="auto"/>
          <w:spacing w:val="0"/>
          <w:w w:val="100"/>
          <w:sz w:val="32"/>
          <w:szCs w:val="32"/>
          <w:shd w:val="clear" w:color="auto" w:fill="FFFFFF"/>
          <w:lang w:val="en-US" w:eastAsia="zh-CN"/>
        </w:rPr>
      </w:pPr>
      <w:r>
        <w:rPr>
          <w:rFonts w:hint="eastAsia" w:ascii="仿宋_GB2312" w:hAnsi="宋体" w:eastAsia="仿宋_GB2312" w:cs="仿宋_GB2312"/>
          <w:b w:val="0"/>
          <w:i w:val="0"/>
          <w:caps w:val="0"/>
          <w:color w:val="auto"/>
          <w:spacing w:val="0"/>
          <w:w w:val="100"/>
          <w:sz w:val="32"/>
          <w:szCs w:val="32"/>
          <w:shd w:val="clear" w:color="auto" w:fill="FFFFFF"/>
          <w:lang w:val="en-US" w:eastAsia="zh-CN"/>
        </w:rPr>
        <w:t>存在的主要问题：一是对政府信息公开管理水平还需提高；二是政府信息公开队伍力量不足。</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hAnsi="宋体" w:eastAsia="仿宋_GB2312" w:cs="仿宋_GB2312"/>
          <w:b w:val="0"/>
          <w:i w:val="0"/>
          <w:caps w:val="0"/>
          <w:color w:val="auto"/>
          <w:spacing w:val="0"/>
          <w:w w:val="100"/>
          <w:sz w:val="32"/>
          <w:szCs w:val="32"/>
          <w:shd w:val="clear" w:color="auto" w:fill="FFFFFF"/>
          <w:lang w:val="en-US" w:eastAsia="zh-CN"/>
        </w:rPr>
      </w:pPr>
      <w:r>
        <w:rPr>
          <w:rFonts w:hint="eastAsia" w:ascii="仿宋_GB2312" w:hAnsi="宋体" w:eastAsia="仿宋_GB2312" w:cs="仿宋_GB2312"/>
          <w:b w:val="0"/>
          <w:i w:val="0"/>
          <w:caps w:val="0"/>
          <w:color w:val="auto"/>
          <w:spacing w:val="0"/>
          <w:w w:val="100"/>
          <w:sz w:val="32"/>
          <w:szCs w:val="32"/>
          <w:shd w:val="clear" w:color="auto" w:fill="FFFFFF"/>
          <w:lang w:val="en-US" w:eastAsia="zh-CN"/>
        </w:rPr>
        <w:t>改进措施：一是进一步提高政府信息公开管理水平。完善政府信息公开各项制度，规范信息发布审核流程，提高政府信息公开实效性。二是进一步补充政府信息公开队伍力量。加强政务公开力量建设，加强专业人员培训，积极投入到政务公开工作中，保障工作效率逐步提升。</w:t>
      </w:r>
    </w:p>
    <w:p>
      <w:pPr>
        <w:keepNext w:val="0"/>
        <w:keepLines w:val="0"/>
        <w:pageBreakBefore w:val="0"/>
        <w:numPr>
          <w:ilvl w:val="0"/>
          <w:numId w:val="2"/>
        </w:numPr>
        <w:kinsoku/>
        <w:wordWrap/>
        <w:overflowPunct/>
        <w:topLinePunct w:val="0"/>
        <w:autoSpaceDE/>
        <w:autoSpaceDN/>
        <w:bidi w:val="0"/>
        <w:adjustRightInd/>
        <w:snapToGrid/>
        <w:spacing w:line="600" w:lineRule="exact"/>
        <w:ind w:firstLine="640"/>
        <w:textAlignment w:val="auto"/>
        <w:rPr>
          <w:rFonts w:hint="eastAsia" w:ascii="黑体" w:hAnsi="黑体" w:eastAsia="黑体" w:cs="黑体"/>
          <w:b w:val="0"/>
          <w:i w:val="0"/>
          <w:caps w:val="0"/>
          <w:color w:val="auto"/>
          <w:spacing w:val="0"/>
          <w:w w:val="100"/>
          <w:sz w:val="32"/>
          <w:szCs w:val="32"/>
          <w:shd w:val="clear" w:color="auto" w:fill="FFFFFF"/>
          <w:lang w:val="en-US" w:eastAsia="zh-CN"/>
        </w:rPr>
      </w:pPr>
      <w:r>
        <w:rPr>
          <w:rFonts w:hint="eastAsia" w:ascii="黑体" w:hAnsi="黑体" w:eastAsia="黑体" w:cs="黑体"/>
          <w:b w:val="0"/>
          <w:i w:val="0"/>
          <w:caps w:val="0"/>
          <w:color w:val="auto"/>
          <w:spacing w:val="0"/>
          <w:w w:val="100"/>
          <w:sz w:val="32"/>
          <w:szCs w:val="32"/>
          <w:shd w:val="clear" w:color="auto" w:fill="FFFFFF"/>
          <w:lang w:val="en-US" w:eastAsia="zh-CN"/>
        </w:rPr>
        <w:t>其他需要报告的事项</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hAnsi="宋体" w:eastAsia="仿宋_GB2312" w:cs="仿宋_GB2312"/>
          <w:b w:val="0"/>
          <w:i w:val="0"/>
          <w:caps w:val="0"/>
          <w:color w:val="auto"/>
          <w:spacing w:val="0"/>
          <w:w w:val="100"/>
          <w:sz w:val="32"/>
          <w:szCs w:val="32"/>
          <w:shd w:val="clear" w:color="auto" w:fill="FFFFFF"/>
          <w:lang w:val="en-US" w:eastAsia="zh-CN"/>
        </w:rPr>
      </w:pPr>
      <w:r>
        <w:rPr>
          <w:rFonts w:hint="eastAsia" w:ascii="仿宋_GB2312" w:hAnsi="宋体" w:eastAsia="仿宋_GB2312" w:cs="仿宋_GB2312"/>
          <w:b w:val="0"/>
          <w:i w:val="0"/>
          <w:caps w:val="0"/>
          <w:color w:val="auto"/>
          <w:spacing w:val="0"/>
          <w:w w:val="100"/>
          <w:sz w:val="32"/>
          <w:szCs w:val="32"/>
          <w:shd w:val="clear" w:color="auto" w:fill="FFFFFF"/>
          <w:lang w:val="en-US" w:eastAsia="zh-CN"/>
        </w:rPr>
        <w:t>无。</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B9C605"/>
    <w:multiLevelType w:val="singleLevel"/>
    <w:tmpl w:val="CDB9C605"/>
    <w:lvl w:ilvl="0" w:tentative="0">
      <w:start w:val="3"/>
      <w:numFmt w:val="chineseCounting"/>
      <w:suff w:val="nothing"/>
      <w:lvlText w:val="%1、"/>
      <w:lvlJc w:val="left"/>
      <w:rPr>
        <w:rFonts w:hint="eastAsia"/>
      </w:rPr>
    </w:lvl>
  </w:abstractNum>
  <w:abstractNum w:abstractNumId="1">
    <w:nsid w:val="51691351"/>
    <w:multiLevelType w:val="singleLevel"/>
    <w:tmpl w:val="51691351"/>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OTJmMTg3ZDM2MDk0YjE3NTc5OTU0OTBmYjFmZjEifQ=="/>
  </w:docVars>
  <w:rsids>
    <w:rsidRoot w:val="00000000"/>
    <w:rsid w:val="073824C0"/>
    <w:rsid w:val="07897D6B"/>
    <w:rsid w:val="07B62A9D"/>
    <w:rsid w:val="08906D19"/>
    <w:rsid w:val="0F163065"/>
    <w:rsid w:val="11F34D97"/>
    <w:rsid w:val="15280FBA"/>
    <w:rsid w:val="1A7063FD"/>
    <w:rsid w:val="1D5B5AFD"/>
    <w:rsid w:val="2C2F550D"/>
    <w:rsid w:val="46B44C57"/>
    <w:rsid w:val="53CB5D77"/>
    <w:rsid w:val="58F2057E"/>
    <w:rsid w:val="66122C35"/>
    <w:rsid w:val="678A3751"/>
    <w:rsid w:val="78F00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2578</Words>
  <Characters>2673</Characters>
  <Lines>0</Lines>
  <Paragraphs>0</Paragraphs>
  <TotalTime>239</TotalTime>
  <ScaleCrop>false</ScaleCrop>
  <LinksUpToDate>false</LinksUpToDate>
  <CharactersWithSpaces>2681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2021-11-12T05:41:00Z</dcterms:created>
  <dc:creator>lenovo</dc:creator>
  <cp:lastModifiedBy>WPS_1482913527</cp:lastModifiedBy>
  <dcterms:modified xsi:type="dcterms:W3CDTF">2022-11-15T02:01:19Z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4EB266C36E3B4D53B9DF2DDDB5074CA1</vt:lpwstr>
  </property>
</Properties>
</file>