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牡丹江市市场监督管理局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年政府信息公开工作年度报告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202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2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年1月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25</w:t>
      </w:r>
      <w:bookmarkStart w:id="0" w:name="_GoBack"/>
      <w:bookmarkEnd w:id="0"/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按照《中华人民共和国政府信息公开条例》要求,现将牡丹江市市场监管局2021年政府信息公开工作报告如下(报告中涉及数据时间为2021年1月1日-12月31日)。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牡丹江市市场监督管理局严格按照《牡丹江市2021年政务公开工作实施方案》的部署要求，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加强反垄断和反不正当竞争执法信息公开，及时公开监管措施，一视同仁公正监管，营造诚信守法市场环境，做好重点领域信息公开和重大政策发布解读。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2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（一）主动公开。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u w:val="none"/>
          <w:lang w:val="en-US" w:eastAsia="zh-CN" w:bidi="ar"/>
        </w:rPr>
        <w:t>一是公开公平竞争监管措施。</w:t>
      </w: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公示牡丹江市公平竞争审查方案、第三方评估机制、联席会议工作规则，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提高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公平竞争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审查质量，确保审查效果，推动公平竞争审查制度深入实施。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二是做好常态化疫情防控信息公开。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围绕进口冷链食品、药店、农贸市场、权限内九小场所等重点领域、重点场所，公示相关信息43条。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三是强化食品药品安全信息发布。</w:t>
      </w: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发布涉及食品、药品、餐饮管理等方面信息201条，以政务公开彰显监管执法的透明度。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u w:val="none"/>
          <w:lang w:val="en-US" w:eastAsia="zh-CN" w:bidi="ar"/>
        </w:rPr>
        <w:t>四是做好重大决策预公开。</w:t>
      </w: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《牡丹江市市场主体住所（经营场所）登记实施细则（试行）》</w:t>
      </w:r>
      <w:r>
        <w:rPr>
          <w:rFonts w:hint="default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《牡丹江市推进“证照分离” 改革全覆盖实施方案》</w:t>
      </w: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两项政府文件和《一站式质量服务站建设及服务规范》等12项地方标准面向社会征求意见，共发布重大决策预公开信息17条。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u w:val="none"/>
          <w:lang w:val="en-US" w:eastAsia="zh-CN" w:bidi="ar"/>
        </w:rPr>
        <w:t>五是及时发布规范性文件。</w:t>
      </w: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在局域网和市政府门户网站及时公开我局制定的行政规范性文件4件，彰显了市场监管局服务发展、支持市场主体发展的决心和信心。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六是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推进预决算信息公开。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在政府门户网站上</w:t>
      </w: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公开了市场监管局2020年财政决算及2021年财政预算、“三公”经费等情况。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outlineLvl w:val="9"/>
        <w:rPr>
          <w:rFonts w:hint="default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u w:val="none"/>
          <w:lang w:val="en-US" w:eastAsia="zh-CN" w:bidi="ar"/>
        </w:rPr>
        <w:t>（二）依申请公开。</w:t>
      </w: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完善信息公开申请接收、登记、办理、审核、答复、归档等环节的各项工作，推动依申请公开制度良性运转。</w:t>
      </w:r>
      <w:r>
        <w:rPr>
          <w:rFonts w:hint="default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20</w:t>
      </w: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21</w:t>
      </w:r>
      <w:r>
        <w:rPr>
          <w:rFonts w:hint="default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年</w:t>
      </w: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市场监管</w:t>
      </w:r>
      <w:r>
        <w:rPr>
          <w:rFonts w:hint="default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局没有收到任何依申请公开政府信息的申请。同时，也没有公开任何法律、法规、规章规定不应向社会公开的政府信息；无向政府信息公开申请人进行收费和减免费用的情况；没有收到任何因政府信息公开申请产生的行政复议，没有发生因政府信息公开申请提起的行政诉讼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outlineLvl w:val="9"/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u w:val="none"/>
          <w:lang w:val="en-US" w:eastAsia="zh-CN" w:bidi="ar"/>
        </w:rPr>
        <w:t>（三）政府信息管理。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制定了政务公开制度</w:t>
      </w: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、信息公开保密审查、依申请公开等各项制度，并汇编成册，下发到各单位部门认真执行落实。在此基础上，固化政务公开职能科室，办公室、法规科、行政审批科、信用监管科、综合执法支队承担市政府门户网站、信用黑龙江“双公示”和“双随机、一公开”信息发布，并落实专人负责更新，建立自觉发布、定期自查的工作制度，确保信息更新发布及时、准确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u w:val="none"/>
          <w:lang w:val="en-US" w:eastAsia="zh-CN" w:bidi="ar"/>
        </w:rPr>
        <w:t>（四）政府信息公开平台建设。</w:t>
      </w: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除确保在市政府政务公开发布信息外，开通“牡丹江市场监管局”微信公众号，发布市场监管信息，解读相关法律正则，宣传科普市场监管知识，累计发布信息315篇，累计阅读次数101681次。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u w:val="none"/>
          <w:lang w:val="en-US" w:eastAsia="zh-CN" w:bidi="ar"/>
        </w:rPr>
        <w:t>（五）监督保障。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高度重视政务公开工作，坚持领导具体抓，责任到科室、落实到个人的工作机制，成立了由局长任组长，分管副局长为副组长，各科室、单位负责人为成员的局政务公开领导小组，下设办公室，具体负责政务公开的日常工作，定期召开政务公开专题会议，听取工作进展情况汇报，对存在的突出问题进行专题调度，切实保障了我局政务公开工作的顺利开展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二、主动公开政府信息情况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6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三、收到和处理政府信息公开申请情况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四、政府信息公开行政复议、行政诉讼情况</w:t>
      </w: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五、存在的主要问题及改进情况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jc w:val="both"/>
        <w:textAlignment w:val="auto"/>
        <w:outlineLvl w:val="9"/>
        <w:rPr>
          <w:rFonts w:hint="eastAsia" w:ascii="楷体" w:hAnsi="楷体" w:eastAsia="楷体" w:cs="楷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/>
          <w:bCs/>
          <w:kern w:val="2"/>
          <w:sz w:val="32"/>
          <w:szCs w:val="32"/>
          <w:lang w:val="en-US" w:eastAsia="zh-CN" w:bidi="ar-SA"/>
        </w:rPr>
        <w:t>（一）存在的主要问题。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一是政府信息公开标准化水平需进一步提高，主要是对个别信息的所属关系、所属主体上掌握不准，在主动公开信息的时效性上还需提高。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二是政策解读不及时，具体表现在发布文件后，不能同步上传政策解读信息，有一定的延迟。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三是新媒体平台影响力还有待加强，微信公众号平台虽然关注人数和阅读量有了显著提高，但与省内外先进地市相比，在发布信息质量、转发数量等方面还存在着较大差距。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2" w:firstLineChars="200"/>
        <w:jc w:val="both"/>
        <w:textAlignment w:val="auto"/>
        <w:outlineLvl w:val="9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（二）改进情况。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一是进一步加强政务公开标准化规范化建设。以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《中华人民共和国政府信息公开条例》为</w:t>
      </w: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指引，对涉及市场监管部门的政务公开事项进行梳理，制定政务公开标准事项目录。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二是增强政务公开工作的时效性。紧紧围绕市场监管中心工作和重点工作，聚焦群众需求，切实做好重大政策的发布解读，及时有效回应群众关切，做到“应公开、尽公开、快公开”。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三是提升新媒体建设管理水平。在加强风险管理的基础上，顺应数字时代发展潮流，着力突出服务功能，在内容策划、服务方式等方面推陈出新，力争让信息公开更鲜活、企业群众办事更方便、回应群众诉求更高效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六、其他需要报告的事项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color w:val="000000"/>
          <w:kern w:val="0"/>
          <w:sz w:val="32"/>
          <w:szCs w:val="32"/>
          <w:u w:val="none"/>
          <w:lang w:val="en-US" w:eastAsia="zh-CN" w:bidi="ar"/>
        </w:rPr>
        <w:t>无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35FED95"/>
    <w:rsid w:val="07EECA78"/>
    <w:rsid w:val="37FFC6DF"/>
    <w:rsid w:val="4DD353F7"/>
    <w:rsid w:val="5DDEC7A0"/>
    <w:rsid w:val="5EBF8020"/>
    <w:rsid w:val="5EF91DD9"/>
    <w:rsid w:val="66DF3FDF"/>
    <w:rsid w:val="6BEE4E84"/>
    <w:rsid w:val="6F59AC56"/>
    <w:rsid w:val="72EE6EF4"/>
    <w:rsid w:val="7BA7D4EC"/>
    <w:rsid w:val="7DFFA149"/>
    <w:rsid w:val="7E385376"/>
    <w:rsid w:val="7EDBC09F"/>
    <w:rsid w:val="7FD9F036"/>
    <w:rsid w:val="7FFBB01A"/>
    <w:rsid w:val="9FCD68DF"/>
    <w:rsid w:val="AFB0BE37"/>
    <w:rsid w:val="B7FAD426"/>
    <w:rsid w:val="BFBA1321"/>
    <w:rsid w:val="D2E44E7E"/>
    <w:rsid w:val="D35FED95"/>
    <w:rsid w:val="D6EDFDFD"/>
    <w:rsid w:val="E2DAB23D"/>
    <w:rsid w:val="E7D3E0F3"/>
    <w:rsid w:val="F9FE7537"/>
    <w:rsid w:val="FB7F4F23"/>
    <w:rsid w:val="FCB763D4"/>
    <w:rsid w:val="FDBEC843"/>
    <w:rsid w:val="FDF32458"/>
    <w:rsid w:val="FEF3C2AA"/>
    <w:rsid w:val="FF6FA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2021-12-07T10:21:00Z</dcterms:created>
  <dc:creator>greatwall</dc:creator>
  <cp:lastModifiedBy>greatwall</cp:lastModifiedBy>
  <cp:lastPrinted>2022-01-06T02:28:00Z</cp:lastPrinted>
  <dcterms:modified xsi:type="dcterms:W3CDTF">2022-01-25T15:55:39Z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