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spacing w:line="240" w:lineRule="auto"/>
        <w:rPr>
          <w:rFonts w:hint="default"/>
          <w:lang w:val="en-US" w:eastAsia="zh-CN"/>
        </w:rPr>
      </w:pPr>
      <w:r>
        <w:rPr>
          <w:rFonts w:hint="eastAsia"/>
          <w:lang w:val="en-US" w:eastAsia="zh-CN"/>
        </w:rPr>
        <w:t>牡丹江市工业和信息化局2021年</w:t>
      </w:r>
    </w:p>
    <w:p>
      <w:pPr>
        <w:pStyle w:val="2"/>
        <w:bidi w:val="0"/>
        <w:rPr>
          <w:rFonts w:hint="eastAsia"/>
          <w:lang w:val="en-US" w:eastAsia="zh-CN"/>
        </w:rPr>
      </w:pPr>
      <w:r>
        <w:rPr>
          <w:rFonts w:hint="eastAsia"/>
          <w:lang w:val="en-US" w:eastAsia="zh-CN"/>
        </w:rPr>
        <w:t>政府信息公开年度报告</w:t>
      </w:r>
    </w:p>
    <w:p>
      <w:pPr>
        <w:rPr>
          <w:rFonts w:hint="eastAsia"/>
          <w:lang w:val="en-US" w:eastAsia="zh-CN"/>
        </w:rPr>
      </w:pPr>
    </w:p>
    <w:p>
      <w:pPr>
        <w:jc w:val="center"/>
        <w:rPr>
          <w:rFonts w:hint="default" w:ascii="Times New Roman" w:hAnsi="Times New Roman" w:cs="Times New Roman"/>
          <w:lang w:val="en-US" w:eastAsia="zh-CN"/>
        </w:rPr>
      </w:pPr>
      <w:r>
        <w:rPr>
          <w:rFonts w:hint="default" w:ascii="Times New Roman" w:hAnsi="Times New Roman" w:cs="Times New Roman"/>
          <w:lang w:val="en-US" w:eastAsia="zh-CN"/>
        </w:rPr>
        <w:t>2022年1月28日</w:t>
      </w:r>
    </w:p>
    <w:p>
      <w:pPr>
        <w:ind w:firstLine="640" w:firstLineChars="200"/>
        <w:rPr>
          <w:rFonts w:hint="default" w:ascii="仿宋" w:hAnsi="仿宋" w:eastAsia="仿宋" w:cs="仿宋"/>
          <w:lang w:val="en-US" w:eastAsia="zh-CN"/>
        </w:rPr>
      </w:pPr>
      <w:r>
        <w:rPr>
          <w:rFonts w:hint="eastAsia" w:ascii="仿宋" w:hAnsi="仿宋" w:cs="仿宋"/>
          <w:lang w:val="en-US" w:eastAsia="zh-CN"/>
        </w:rPr>
        <w:t>依据《中华人民共和国政府信息公开条例》《牡丹江市政务公开办公室关于做好政府信息公开工作年度报告相关事项的通知》规定，制作本报告,数据统计时限为2021年1月1日至2021年12月31日。</w:t>
      </w:r>
    </w:p>
    <w:p>
      <w:pPr>
        <w:ind w:firstLine="640" w:firstLineChars="200"/>
        <w:rPr>
          <w:rFonts w:hint="eastAsia" w:ascii="黑体" w:hAnsi="黑体" w:eastAsia="黑体" w:cs="黑体"/>
          <w:lang w:val="en-US" w:eastAsia="zh-CN"/>
        </w:rPr>
      </w:pPr>
      <w:r>
        <w:rPr>
          <w:rFonts w:hint="eastAsia" w:ascii="黑体" w:hAnsi="黑体" w:eastAsia="黑体" w:cs="黑体"/>
          <w:lang w:val="en-US" w:eastAsia="zh-CN"/>
        </w:rPr>
        <w:t>一、总体情况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default" w:eastAsia="仿宋"/>
          <w:lang w:val="en-US" w:eastAsia="zh-CN"/>
        </w:rPr>
      </w:pPr>
      <w:r>
        <w:rPr>
          <w:rFonts w:hint="eastAsia"/>
        </w:rPr>
        <w:t>　　</w:t>
      </w:r>
      <w:r>
        <w:rPr>
          <w:rFonts w:hint="eastAsia"/>
          <w:lang w:val="en-US" w:eastAsia="zh-CN"/>
        </w:rPr>
        <w:t>2021年，牡丹江市工信局坚持以习近平新时代中国特色社会主义思想为指导，认真贯彻落实党中央、国务院关于政府信息公开工作的决策部署和《政府信息公开条例》，坚持“以公开为常态，不公开为例外”原则，不断深化信息公开工作，加大信息主动公开力度，增强公开实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eastAsia="仿宋"/>
          <w:lang w:val="en-US" w:eastAsia="zh-CN"/>
        </w:rPr>
      </w:pPr>
      <w:r>
        <w:rPr>
          <w:rFonts w:hint="eastAsia"/>
        </w:rPr>
        <w:t>1、</w:t>
      </w:r>
      <w:r>
        <w:rPr>
          <w:rFonts w:hint="eastAsia"/>
          <w:lang w:val="en-US" w:eastAsia="zh-CN"/>
        </w:rPr>
        <w:t>强化组织领导，明确工作职责。</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eastAsia"/>
        </w:rPr>
      </w:pPr>
      <w:r>
        <w:rPr>
          <w:rFonts w:hint="eastAsia"/>
          <w:lang w:val="en-US" w:eastAsia="zh-CN"/>
        </w:rPr>
        <w:t>我局</w:t>
      </w:r>
      <w:r>
        <w:rPr>
          <w:rFonts w:hint="eastAsia"/>
        </w:rPr>
        <w:t>不断强化政务公开工作的组织领导，为深化政务公开提供组织保证。成立了以局主要负责人为组长的政务公开工作领导小组，明确局办公室为政务公开办公室</w:t>
      </w:r>
      <w:r>
        <w:rPr>
          <w:rFonts w:hint="eastAsia"/>
          <w:lang w:eastAsia="zh-CN"/>
        </w:rPr>
        <w:t>，</w:t>
      </w:r>
      <w:r>
        <w:rPr>
          <w:rFonts w:hint="eastAsia"/>
        </w:rPr>
        <w:t>负责</w:t>
      </w:r>
      <w:r>
        <w:rPr>
          <w:rFonts w:hint="eastAsia"/>
          <w:lang w:val="en-US" w:eastAsia="zh-CN"/>
        </w:rPr>
        <w:t>局</w:t>
      </w:r>
      <w:r>
        <w:rPr>
          <w:rFonts w:hint="eastAsia"/>
        </w:rPr>
        <w:t>信息公开工作的组织、指导、协调和督促检查。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eastAsia"/>
          <w:lang w:val="en-US" w:eastAsia="zh-CN"/>
        </w:rPr>
      </w:pPr>
      <w:r>
        <w:rPr>
          <w:rFonts w:hint="eastAsia"/>
          <w:lang w:val="en-US" w:eastAsia="zh-CN"/>
        </w:rPr>
        <w:t>2、注重信息审核，完善审批流程。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default"/>
          <w:lang w:val="en-US" w:eastAsia="zh-CN"/>
        </w:rPr>
      </w:pPr>
      <w:r>
        <w:rPr>
          <w:rFonts w:hint="default"/>
          <w:lang w:val="en-US" w:eastAsia="zh-CN"/>
        </w:rPr>
        <w:t>为进一步规范政务信息公开审批程序，确保保密审核和内容把关到位，</w:t>
      </w:r>
      <w:r>
        <w:rPr>
          <w:rFonts w:hint="eastAsia"/>
          <w:lang w:val="en-US" w:eastAsia="zh-CN"/>
        </w:rPr>
        <w:t>我</w:t>
      </w:r>
      <w:r>
        <w:rPr>
          <w:rFonts w:hint="default"/>
          <w:lang w:val="en-US" w:eastAsia="zh-CN"/>
        </w:rPr>
        <w:t>局制作了《</w:t>
      </w:r>
      <w:r>
        <w:rPr>
          <w:rFonts w:hint="eastAsia"/>
          <w:lang w:val="en-US" w:eastAsia="zh-CN"/>
        </w:rPr>
        <w:t>市工信局网站</w:t>
      </w:r>
      <w:r>
        <w:rPr>
          <w:rFonts w:hint="default"/>
          <w:lang w:val="en-US" w:eastAsia="zh-CN"/>
        </w:rPr>
        <w:t>信息</w:t>
      </w:r>
      <w:r>
        <w:rPr>
          <w:rFonts w:hint="eastAsia"/>
          <w:lang w:val="en-US" w:eastAsia="zh-CN"/>
        </w:rPr>
        <w:t>发布</w:t>
      </w:r>
      <w:r>
        <w:rPr>
          <w:rFonts w:hint="default"/>
          <w:lang w:val="en-US" w:eastAsia="zh-CN"/>
        </w:rPr>
        <w:t>审批表》，再次明确了政务信息的公开发布需要通过科室负责人、</w:t>
      </w:r>
      <w:r>
        <w:rPr>
          <w:rFonts w:hint="eastAsia"/>
          <w:lang w:val="en-US" w:eastAsia="zh-CN"/>
        </w:rPr>
        <w:t>科</w:t>
      </w:r>
      <w:r>
        <w:rPr>
          <w:rFonts w:hint="default"/>
          <w:lang w:val="en-US" w:eastAsia="zh-CN"/>
        </w:rPr>
        <w:t>室主管领导的审核把关后，才能对外发布的审批程序，确保政务信息公开工作的准确性、安全性、合规性。</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eastAsia"/>
          <w:lang w:val="en-US" w:eastAsia="zh-CN"/>
        </w:rPr>
      </w:pPr>
      <w:r>
        <w:rPr>
          <w:rFonts w:hint="eastAsia"/>
          <w:lang w:val="en-US" w:eastAsia="zh-CN"/>
        </w:rPr>
        <w:t>3、信息公开渠道建设情况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eastAsia"/>
          <w:lang w:val="en-US" w:eastAsia="zh-CN"/>
        </w:rPr>
      </w:pPr>
      <w:r>
        <w:rPr>
          <w:rFonts w:hint="eastAsia"/>
          <w:lang w:val="en-US" w:eastAsia="zh-CN"/>
        </w:rPr>
        <w:t>公开信息公开在市政府网站政务公开栏目及局微信公众号《牡丹江市工信局》。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default"/>
          <w:lang w:val="en-US" w:eastAsia="zh-CN"/>
        </w:rPr>
      </w:pPr>
      <w:r>
        <w:rPr>
          <w:rFonts w:hint="eastAsia"/>
          <w:lang w:val="en-US" w:eastAsia="zh-CN"/>
        </w:rPr>
        <w:t>2021年，我局未制定新的规章和规范性文件，无行政许可、行政处罚、行政强制、行政事业性收费，未产生依申请公开及行政复议、行政诉讼。</w:t>
      </w:r>
    </w:p>
    <w:p>
      <w:pPr>
        <w:ind w:firstLine="640" w:firstLineChars="200"/>
        <w:rPr>
          <w:rFonts w:hint="eastAsia" w:ascii="黑体" w:hAnsi="黑体" w:eastAsia="黑体" w:cs="黑体"/>
          <w:lang w:val="en-US" w:eastAsia="zh-CN"/>
        </w:rPr>
      </w:pPr>
      <w:r>
        <w:rPr>
          <w:rFonts w:hint="eastAsia" w:ascii="黑体" w:hAnsi="黑体" w:eastAsia="黑体" w:cs="黑体"/>
          <w:lang w:val="en-US" w:eastAsia="zh-CN"/>
        </w:rPr>
        <w:t>二、主动公开政府信息情况</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3"/>
        <w:gridCol w:w="1979"/>
        <w:gridCol w:w="1800"/>
        <w:gridCol w:w="1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pPr>
              <w:jc w:val="center"/>
              <w:rPr>
                <w:rFonts w:hint="default"/>
                <w:sz w:val="24"/>
                <w:szCs w:val="24"/>
                <w:vertAlign w:val="baseline"/>
                <w:lang w:val="en-US" w:eastAsia="zh-CN"/>
              </w:rPr>
            </w:pPr>
            <w:r>
              <w:rPr>
                <w:rFonts w:hint="eastAsia"/>
                <w:sz w:val="24"/>
                <w:szCs w:val="24"/>
                <w:vertAlign w:val="baseline"/>
                <w:lang w:val="en-US" w:eastAsia="zh-CN"/>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3" w:type="dxa"/>
          </w:tcPr>
          <w:p>
            <w:pPr>
              <w:jc w:val="center"/>
              <w:rPr>
                <w:rFonts w:hint="default"/>
                <w:sz w:val="24"/>
                <w:szCs w:val="24"/>
                <w:vertAlign w:val="baseline"/>
                <w:lang w:val="en-US" w:eastAsia="zh-CN"/>
              </w:rPr>
            </w:pPr>
            <w:r>
              <w:rPr>
                <w:rFonts w:hint="eastAsia"/>
                <w:sz w:val="24"/>
                <w:szCs w:val="24"/>
                <w:vertAlign w:val="baseline"/>
                <w:lang w:val="en-US" w:eastAsia="zh-CN"/>
              </w:rPr>
              <w:t>信息内容</w:t>
            </w:r>
          </w:p>
        </w:tc>
        <w:tc>
          <w:tcPr>
            <w:tcW w:w="1979" w:type="dxa"/>
            <w:vAlign w:val="center"/>
          </w:tcPr>
          <w:p>
            <w:pPr>
              <w:jc w:val="center"/>
              <w:rPr>
                <w:rFonts w:hint="default"/>
                <w:sz w:val="24"/>
                <w:szCs w:val="24"/>
                <w:vertAlign w:val="baseline"/>
                <w:lang w:val="en-US" w:eastAsia="zh-CN"/>
              </w:rPr>
            </w:pPr>
            <w:r>
              <w:rPr>
                <w:rFonts w:hint="eastAsia"/>
                <w:sz w:val="24"/>
                <w:szCs w:val="24"/>
                <w:vertAlign w:val="baseline"/>
                <w:lang w:val="en-US" w:eastAsia="zh-CN"/>
              </w:rPr>
              <w:t>本年制发件数</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4"/>
                <w:szCs w:val="24"/>
                <w:vertAlign w:val="baseline"/>
                <w:lang w:val="en-US" w:eastAsia="zh-CN"/>
              </w:rPr>
            </w:pPr>
            <w:r>
              <w:rPr>
                <w:rFonts w:hint="eastAsia"/>
                <w:sz w:val="24"/>
                <w:szCs w:val="24"/>
                <w:vertAlign w:val="baseline"/>
                <w:lang w:val="en-US" w:eastAsia="zh-CN"/>
              </w:rPr>
              <w:t>本年废止件数</w:t>
            </w:r>
          </w:p>
        </w:tc>
        <w:tc>
          <w:tcPr>
            <w:tcW w:w="1910" w:type="dxa"/>
          </w:tcPr>
          <w:p>
            <w:pPr>
              <w:jc w:val="center"/>
              <w:rPr>
                <w:rFonts w:hint="default"/>
                <w:sz w:val="24"/>
                <w:szCs w:val="24"/>
                <w:vertAlign w:val="baseline"/>
                <w:lang w:val="en-US" w:eastAsia="zh-CN"/>
              </w:rPr>
            </w:pPr>
            <w:r>
              <w:rPr>
                <w:rFonts w:hint="eastAsia"/>
                <w:sz w:val="24"/>
                <w:szCs w:val="24"/>
                <w:vertAlign w:val="baseline"/>
                <w:lang w:val="en-US"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3" w:type="dxa"/>
          </w:tcPr>
          <w:p>
            <w:pPr>
              <w:rPr>
                <w:rFonts w:hint="default"/>
                <w:sz w:val="24"/>
                <w:szCs w:val="24"/>
                <w:vertAlign w:val="baseline"/>
                <w:lang w:val="en-US" w:eastAsia="zh-CN"/>
              </w:rPr>
            </w:pPr>
            <w:r>
              <w:rPr>
                <w:rFonts w:hint="eastAsia"/>
                <w:sz w:val="24"/>
                <w:szCs w:val="24"/>
                <w:vertAlign w:val="baseline"/>
                <w:lang w:val="en-US" w:eastAsia="zh-CN"/>
              </w:rPr>
              <w:t>规章</w:t>
            </w:r>
          </w:p>
        </w:tc>
        <w:tc>
          <w:tcPr>
            <w:tcW w:w="1979" w:type="dxa"/>
          </w:tcPr>
          <w:p>
            <w:pPr>
              <w:rPr>
                <w:rFonts w:hint="default"/>
                <w:sz w:val="24"/>
                <w:szCs w:val="24"/>
                <w:vertAlign w:val="baseline"/>
                <w:lang w:val="en-US" w:eastAsia="zh-CN"/>
              </w:rPr>
            </w:pPr>
            <w:r>
              <w:rPr>
                <w:rFonts w:hint="eastAsia"/>
                <w:sz w:val="24"/>
                <w:szCs w:val="24"/>
                <w:vertAlign w:val="baseline"/>
                <w:lang w:val="en-US" w:eastAsia="zh-CN"/>
              </w:rPr>
              <w:t>0</w:t>
            </w:r>
          </w:p>
        </w:tc>
        <w:tc>
          <w:tcPr>
            <w:tcW w:w="1800" w:type="dxa"/>
          </w:tcPr>
          <w:p>
            <w:pPr>
              <w:rPr>
                <w:rFonts w:hint="default"/>
                <w:sz w:val="24"/>
                <w:szCs w:val="24"/>
                <w:vertAlign w:val="baseline"/>
                <w:lang w:val="en-US" w:eastAsia="zh-CN"/>
              </w:rPr>
            </w:pPr>
            <w:r>
              <w:rPr>
                <w:rFonts w:hint="eastAsia"/>
                <w:sz w:val="24"/>
                <w:szCs w:val="24"/>
                <w:vertAlign w:val="baseline"/>
                <w:lang w:val="en-US" w:eastAsia="zh-CN"/>
              </w:rPr>
              <w:t>0</w:t>
            </w:r>
          </w:p>
        </w:tc>
        <w:tc>
          <w:tcPr>
            <w:tcW w:w="1910" w:type="dxa"/>
          </w:tcPr>
          <w:p>
            <w:pPr>
              <w:rPr>
                <w:rFonts w:hint="default"/>
                <w:sz w:val="24"/>
                <w:szCs w:val="24"/>
                <w:vertAlign w:val="baseline"/>
                <w:lang w:val="en-US" w:eastAsia="zh-CN"/>
              </w:rPr>
            </w:pPr>
            <w:r>
              <w:rPr>
                <w:rFonts w:hint="eastAsia"/>
                <w:sz w:val="24"/>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3" w:type="dxa"/>
          </w:tcPr>
          <w:p>
            <w:pPr>
              <w:rPr>
                <w:rFonts w:hint="default"/>
                <w:sz w:val="24"/>
                <w:szCs w:val="24"/>
                <w:vertAlign w:val="baseline"/>
                <w:lang w:val="en-US" w:eastAsia="zh-CN"/>
              </w:rPr>
            </w:pPr>
            <w:r>
              <w:rPr>
                <w:rFonts w:hint="eastAsia"/>
                <w:sz w:val="24"/>
                <w:szCs w:val="24"/>
                <w:vertAlign w:val="baseline"/>
                <w:lang w:val="en-US" w:eastAsia="zh-CN"/>
              </w:rPr>
              <w:t>规范性文件</w:t>
            </w:r>
          </w:p>
        </w:tc>
        <w:tc>
          <w:tcPr>
            <w:tcW w:w="1979" w:type="dxa"/>
          </w:tcPr>
          <w:p>
            <w:pPr>
              <w:rPr>
                <w:rFonts w:hint="default"/>
                <w:sz w:val="24"/>
                <w:szCs w:val="24"/>
                <w:vertAlign w:val="baseline"/>
                <w:lang w:val="en-US" w:eastAsia="zh-CN"/>
              </w:rPr>
            </w:pPr>
            <w:r>
              <w:rPr>
                <w:rFonts w:hint="eastAsia"/>
                <w:sz w:val="24"/>
                <w:szCs w:val="24"/>
                <w:vertAlign w:val="baseline"/>
                <w:lang w:val="en-US" w:eastAsia="zh-CN"/>
              </w:rPr>
              <w:t>0</w:t>
            </w:r>
          </w:p>
        </w:tc>
        <w:tc>
          <w:tcPr>
            <w:tcW w:w="1800" w:type="dxa"/>
          </w:tcPr>
          <w:p>
            <w:pPr>
              <w:rPr>
                <w:rFonts w:hint="default"/>
                <w:sz w:val="24"/>
                <w:szCs w:val="24"/>
                <w:vertAlign w:val="baseline"/>
                <w:lang w:val="en-US" w:eastAsia="zh-CN"/>
              </w:rPr>
            </w:pPr>
            <w:r>
              <w:rPr>
                <w:rFonts w:hint="eastAsia"/>
                <w:sz w:val="24"/>
                <w:szCs w:val="24"/>
                <w:vertAlign w:val="baseline"/>
                <w:lang w:val="en-US" w:eastAsia="zh-CN"/>
              </w:rPr>
              <w:t>0</w:t>
            </w:r>
          </w:p>
        </w:tc>
        <w:tc>
          <w:tcPr>
            <w:tcW w:w="1910" w:type="dxa"/>
          </w:tcPr>
          <w:p>
            <w:pPr>
              <w:rPr>
                <w:rFonts w:hint="default"/>
                <w:sz w:val="24"/>
                <w:szCs w:val="24"/>
                <w:vertAlign w:val="baseline"/>
                <w:lang w:val="en-US" w:eastAsia="zh-CN"/>
              </w:rPr>
            </w:pPr>
            <w:r>
              <w:rPr>
                <w:rFonts w:hint="eastAsia"/>
                <w:sz w:val="24"/>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pPr>
              <w:jc w:val="center"/>
              <w:rPr>
                <w:rFonts w:hint="default"/>
                <w:sz w:val="24"/>
                <w:szCs w:val="24"/>
                <w:vertAlign w:val="baseline"/>
                <w:lang w:val="en-US" w:eastAsia="zh-CN"/>
              </w:rPr>
            </w:pPr>
            <w:r>
              <w:rPr>
                <w:rFonts w:hint="eastAsia"/>
                <w:sz w:val="24"/>
                <w:szCs w:val="24"/>
                <w:vertAlign w:val="baseline"/>
                <w:lang w:val="en-US" w:eastAsia="zh-CN"/>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3" w:type="dxa"/>
          </w:tcPr>
          <w:p>
            <w:pPr>
              <w:jc w:val="center"/>
              <w:rPr>
                <w:rFonts w:hint="default"/>
                <w:sz w:val="24"/>
                <w:szCs w:val="24"/>
                <w:vertAlign w:val="baseline"/>
                <w:lang w:val="en-US" w:eastAsia="zh-CN"/>
              </w:rPr>
            </w:pPr>
            <w:r>
              <w:rPr>
                <w:rFonts w:hint="eastAsia"/>
                <w:sz w:val="24"/>
                <w:szCs w:val="24"/>
                <w:vertAlign w:val="baseline"/>
                <w:lang w:val="en-US" w:eastAsia="zh-CN"/>
              </w:rPr>
              <w:t>信息内容</w:t>
            </w:r>
          </w:p>
        </w:tc>
        <w:tc>
          <w:tcPr>
            <w:tcW w:w="5689" w:type="dxa"/>
            <w:gridSpan w:val="3"/>
          </w:tcPr>
          <w:p>
            <w:pPr>
              <w:jc w:val="center"/>
              <w:rPr>
                <w:rFonts w:hint="default"/>
                <w:sz w:val="24"/>
                <w:szCs w:val="24"/>
                <w:vertAlign w:val="baseline"/>
                <w:lang w:val="en-US" w:eastAsia="zh-CN"/>
              </w:rPr>
            </w:pPr>
            <w:r>
              <w:rPr>
                <w:rFonts w:hint="eastAsia"/>
                <w:sz w:val="24"/>
                <w:szCs w:val="24"/>
                <w:vertAlign w:val="baseline"/>
                <w:lang w:val="en-US" w:eastAsia="zh-CN"/>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3" w:type="dxa"/>
          </w:tcPr>
          <w:p>
            <w:pPr>
              <w:rPr>
                <w:rFonts w:hint="default"/>
                <w:sz w:val="24"/>
                <w:szCs w:val="24"/>
                <w:vertAlign w:val="baseline"/>
                <w:lang w:val="en-US" w:eastAsia="zh-CN"/>
              </w:rPr>
            </w:pPr>
            <w:r>
              <w:rPr>
                <w:rFonts w:hint="eastAsia"/>
                <w:sz w:val="24"/>
                <w:szCs w:val="24"/>
                <w:vertAlign w:val="baseline"/>
                <w:lang w:val="en-US" w:eastAsia="zh-CN"/>
              </w:rPr>
              <w:t>行政许可</w:t>
            </w:r>
          </w:p>
        </w:tc>
        <w:tc>
          <w:tcPr>
            <w:tcW w:w="5689" w:type="dxa"/>
            <w:gridSpan w:val="3"/>
          </w:tcPr>
          <w:p>
            <w:pPr>
              <w:rPr>
                <w:rFonts w:hint="default"/>
                <w:sz w:val="24"/>
                <w:szCs w:val="24"/>
                <w:vertAlign w:val="baseline"/>
                <w:lang w:val="en-US" w:eastAsia="zh-CN"/>
              </w:rPr>
            </w:pPr>
            <w:r>
              <w:rPr>
                <w:rFonts w:hint="eastAsia"/>
                <w:sz w:val="24"/>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pPr>
              <w:jc w:val="center"/>
              <w:rPr>
                <w:rFonts w:hint="default"/>
                <w:sz w:val="24"/>
                <w:szCs w:val="24"/>
                <w:vertAlign w:val="baseline"/>
                <w:lang w:val="en-US" w:eastAsia="zh-CN"/>
              </w:rPr>
            </w:pPr>
            <w:r>
              <w:rPr>
                <w:rFonts w:hint="eastAsia"/>
                <w:sz w:val="24"/>
                <w:szCs w:val="24"/>
                <w:vertAlign w:val="baseline"/>
                <w:lang w:val="en-US" w:eastAsia="zh-CN"/>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3" w:type="dxa"/>
          </w:tcPr>
          <w:p>
            <w:pPr>
              <w:jc w:val="center"/>
              <w:rPr>
                <w:rFonts w:hint="default"/>
                <w:sz w:val="24"/>
                <w:szCs w:val="24"/>
                <w:vertAlign w:val="baseline"/>
                <w:lang w:val="en-US" w:eastAsia="zh-CN"/>
              </w:rPr>
            </w:pPr>
            <w:r>
              <w:rPr>
                <w:rFonts w:hint="eastAsia"/>
                <w:sz w:val="24"/>
                <w:szCs w:val="24"/>
                <w:vertAlign w:val="baseline"/>
                <w:lang w:val="en-US" w:eastAsia="zh-CN"/>
              </w:rPr>
              <w:t>信息内容</w:t>
            </w:r>
          </w:p>
        </w:tc>
        <w:tc>
          <w:tcPr>
            <w:tcW w:w="5689" w:type="dxa"/>
            <w:gridSpan w:val="3"/>
            <w:vAlign w:val="top"/>
          </w:tcPr>
          <w:p>
            <w:pPr>
              <w:jc w:val="center"/>
              <w:rPr>
                <w:rFonts w:hint="default"/>
                <w:sz w:val="24"/>
                <w:szCs w:val="24"/>
                <w:vertAlign w:val="baseline"/>
                <w:lang w:val="en-US" w:eastAsia="zh-CN"/>
              </w:rPr>
            </w:pPr>
            <w:r>
              <w:rPr>
                <w:rFonts w:hint="eastAsia"/>
                <w:sz w:val="24"/>
                <w:szCs w:val="24"/>
                <w:vertAlign w:val="baseline"/>
                <w:lang w:val="en-US" w:eastAsia="zh-CN"/>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3" w:type="dxa"/>
          </w:tcPr>
          <w:p>
            <w:pPr>
              <w:rPr>
                <w:rFonts w:hint="default"/>
                <w:sz w:val="24"/>
                <w:szCs w:val="24"/>
                <w:vertAlign w:val="baseline"/>
                <w:lang w:val="en-US" w:eastAsia="zh-CN"/>
              </w:rPr>
            </w:pPr>
            <w:r>
              <w:rPr>
                <w:rFonts w:hint="eastAsia"/>
                <w:sz w:val="24"/>
                <w:szCs w:val="24"/>
                <w:vertAlign w:val="baseline"/>
                <w:lang w:val="en-US" w:eastAsia="zh-CN"/>
              </w:rPr>
              <w:t>行政处罚</w:t>
            </w:r>
          </w:p>
        </w:tc>
        <w:tc>
          <w:tcPr>
            <w:tcW w:w="5689" w:type="dxa"/>
            <w:gridSpan w:val="3"/>
          </w:tcPr>
          <w:p>
            <w:pPr>
              <w:rPr>
                <w:rFonts w:hint="default"/>
                <w:sz w:val="24"/>
                <w:szCs w:val="24"/>
                <w:vertAlign w:val="baseline"/>
                <w:lang w:val="en-US" w:eastAsia="zh-CN"/>
              </w:rPr>
            </w:pPr>
            <w:r>
              <w:rPr>
                <w:rFonts w:hint="eastAsia"/>
                <w:sz w:val="24"/>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3" w:type="dxa"/>
          </w:tcPr>
          <w:p>
            <w:pPr>
              <w:rPr>
                <w:rFonts w:hint="default"/>
                <w:sz w:val="24"/>
                <w:szCs w:val="24"/>
                <w:vertAlign w:val="baseline"/>
                <w:lang w:val="en-US" w:eastAsia="zh-CN"/>
              </w:rPr>
            </w:pPr>
            <w:r>
              <w:rPr>
                <w:rFonts w:hint="eastAsia"/>
                <w:sz w:val="24"/>
                <w:szCs w:val="24"/>
                <w:vertAlign w:val="baseline"/>
                <w:lang w:val="en-US" w:eastAsia="zh-CN"/>
              </w:rPr>
              <w:t>行政强制</w:t>
            </w:r>
          </w:p>
        </w:tc>
        <w:tc>
          <w:tcPr>
            <w:tcW w:w="5689" w:type="dxa"/>
            <w:gridSpan w:val="3"/>
          </w:tcPr>
          <w:p>
            <w:pPr>
              <w:rPr>
                <w:rFonts w:hint="default"/>
                <w:sz w:val="24"/>
                <w:szCs w:val="24"/>
                <w:vertAlign w:val="baseline"/>
                <w:lang w:val="en-US" w:eastAsia="zh-CN"/>
              </w:rPr>
            </w:pPr>
            <w:r>
              <w:rPr>
                <w:rFonts w:hint="eastAsia"/>
                <w:sz w:val="24"/>
                <w:szCs w:val="24"/>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pPr>
              <w:jc w:val="center"/>
              <w:rPr>
                <w:rFonts w:hint="default"/>
                <w:sz w:val="24"/>
                <w:szCs w:val="24"/>
                <w:vertAlign w:val="baseline"/>
                <w:lang w:val="en-US" w:eastAsia="zh-CN"/>
              </w:rPr>
            </w:pPr>
            <w:r>
              <w:rPr>
                <w:rFonts w:hint="eastAsia"/>
                <w:sz w:val="24"/>
                <w:szCs w:val="24"/>
                <w:vertAlign w:val="baseline"/>
                <w:lang w:val="en-US" w:eastAsia="zh-CN"/>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3" w:type="dxa"/>
          </w:tcPr>
          <w:p>
            <w:pPr>
              <w:jc w:val="center"/>
              <w:rPr>
                <w:rFonts w:hint="default"/>
                <w:sz w:val="24"/>
                <w:szCs w:val="24"/>
                <w:vertAlign w:val="baseline"/>
                <w:lang w:val="en-US" w:eastAsia="zh-CN"/>
              </w:rPr>
            </w:pPr>
            <w:r>
              <w:rPr>
                <w:rFonts w:hint="eastAsia"/>
                <w:sz w:val="24"/>
                <w:szCs w:val="24"/>
                <w:vertAlign w:val="baseline"/>
                <w:lang w:val="en-US" w:eastAsia="zh-CN"/>
              </w:rPr>
              <w:t>信息内容</w:t>
            </w:r>
          </w:p>
        </w:tc>
        <w:tc>
          <w:tcPr>
            <w:tcW w:w="5689" w:type="dxa"/>
            <w:gridSpan w:val="3"/>
          </w:tcPr>
          <w:p>
            <w:pPr>
              <w:jc w:val="center"/>
              <w:rPr>
                <w:rFonts w:hint="default"/>
                <w:sz w:val="24"/>
                <w:szCs w:val="24"/>
                <w:vertAlign w:val="baseline"/>
                <w:lang w:val="en-US" w:eastAsia="zh-CN"/>
              </w:rPr>
            </w:pPr>
            <w:r>
              <w:rPr>
                <w:rFonts w:hint="eastAsia"/>
                <w:sz w:val="24"/>
                <w:szCs w:val="24"/>
                <w:vertAlign w:val="baseline"/>
                <w:lang w:val="en-US" w:eastAsia="zh-CN"/>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3" w:type="dxa"/>
          </w:tcPr>
          <w:p>
            <w:pPr>
              <w:rPr>
                <w:rFonts w:hint="default"/>
                <w:sz w:val="24"/>
                <w:szCs w:val="24"/>
                <w:vertAlign w:val="baseline"/>
                <w:lang w:val="en-US" w:eastAsia="zh-CN"/>
              </w:rPr>
            </w:pPr>
            <w:r>
              <w:rPr>
                <w:rFonts w:hint="eastAsia"/>
                <w:sz w:val="24"/>
                <w:szCs w:val="24"/>
                <w:vertAlign w:val="baseline"/>
                <w:lang w:val="en-US" w:eastAsia="zh-CN"/>
              </w:rPr>
              <w:t>行政事业性收费</w:t>
            </w:r>
          </w:p>
        </w:tc>
        <w:tc>
          <w:tcPr>
            <w:tcW w:w="5689" w:type="dxa"/>
            <w:gridSpan w:val="3"/>
          </w:tcPr>
          <w:p>
            <w:pPr>
              <w:rPr>
                <w:rFonts w:hint="default"/>
                <w:sz w:val="24"/>
                <w:szCs w:val="24"/>
                <w:vertAlign w:val="baseline"/>
                <w:lang w:val="en-US" w:eastAsia="zh-CN"/>
              </w:rPr>
            </w:pPr>
            <w:r>
              <w:rPr>
                <w:rFonts w:hint="eastAsia"/>
                <w:sz w:val="24"/>
                <w:szCs w:val="24"/>
                <w:vertAlign w:val="baseline"/>
                <w:lang w:val="en-US" w:eastAsia="zh-CN"/>
              </w:rPr>
              <w:t>0</w:t>
            </w:r>
          </w:p>
        </w:tc>
      </w:tr>
    </w:tbl>
    <w:p>
      <w:pPr>
        <w:rPr>
          <w:rFonts w:hint="default"/>
          <w:lang w:val="en-US" w:eastAsia="zh-CN"/>
        </w:rPr>
      </w:pPr>
    </w:p>
    <w:p>
      <w:pPr>
        <w:ind w:firstLine="640" w:firstLineChars="200"/>
        <w:rPr>
          <w:rFonts w:hint="eastAsia" w:ascii="黑体" w:hAnsi="黑体" w:eastAsia="黑体" w:cs="黑体"/>
          <w:lang w:val="en-US" w:eastAsia="zh-CN"/>
        </w:rPr>
      </w:pPr>
      <w:r>
        <w:rPr>
          <w:rFonts w:hint="eastAsia" w:ascii="黑体" w:hAnsi="黑体" w:eastAsia="黑体" w:cs="黑体"/>
          <w:lang w:val="en-US" w:eastAsia="zh-CN"/>
        </w:rPr>
        <w:t>三、收到和处理政府信息公开申请情况</w:t>
      </w:r>
    </w:p>
    <w:tbl>
      <w:tblPr>
        <w:tblStyle w:val="5"/>
        <w:tblW w:w="0" w:type="auto"/>
        <w:tblInd w:w="-1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650"/>
        <w:gridCol w:w="2603"/>
        <w:gridCol w:w="612"/>
        <w:gridCol w:w="726"/>
        <w:gridCol w:w="669"/>
        <w:gridCol w:w="924"/>
        <w:gridCol w:w="853"/>
        <w:gridCol w:w="457"/>
        <w:gridCol w:w="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9" w:type="dxa"/>
            <w:gridSpan w:val="3"/>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vertAlign w:val="baseline"/>
                <w:lang w:val="en-US" w:eastAsia="zh-CN"/>
              </w:rPr>
            </w:pPr>
            <w:r>
              <w:rPr>
                <w:rFonts w:hint="eastAsia"/>
                <w:sz w:val="21"/>
                <w:szCs w:val="21"/>
                <w:vertAlign w:val="baseline"/>
                <w:lang w:val="en-US" w:eastAsia="zh-CN"/>
              </w:rPr>
              <w:t>（本列数据的勾稽关系为：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vertAlign w:val="baseline"/>
                <w:lang w:val="en-US" w:eastAsia="zh-CN"/>
              </w:rPr>
            </w:pPr>
            <w:r>
              <w:rPr>
                <w:rFonts w:hint="eastAsia"/>
                <w:sz w:val="21"/>
                <w:szCs w:val="21"/>
                <w:vertAlign w:val="baseline"/>
                <w:lang w:val="en-US" w:eastAsia="zh-CN"/>
              </w:rPr>
              <w:t>第一项加第二项之和，</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等于第三项加第四项之和）</w:t>
            </w:r>
          </w:p>
        </w:tc>
        <w:tc>
          <w:tcPr>
            <w:tcW w:w="4767" w:type="dxa"/>
            <w:gridSpan w:val="7"/>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9" w:type="dxa"/>
            <w:gridSpan w:val="3"/>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c>
          <w:tcPr>
            <w:tcW w:w="61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自然人</w:t>
            </w:r>
          </w:p>
        </w:tc>
        <w:tc>
          <w:tcPr>
            <w:tcW w:w="3629"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法人和其他组织</w:t>
            </w:r>
          </w:p>
        </w:tc>
        <w:tc>
          <w:tcPr>
            <w:tcW w:w="52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9" w:type="dxa"/>
            <w:gridSpan w:val="3"/>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c>
          <w:tcPr>
            <w:tcW w:w="612"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vertAlign w:val="baseline"/>
                <w:lang w:val="en-US" w:eastAsia="zh-CN"/>
              </w:rPr>
            </w:pPr>
            <w:r>
              <w:rPr>
                <w:rFonts w:hint="eastAsia"/>
                <w:sz w:val="21"/>
                <w:szCs w:val="21"/>
                <w:vertAlign w:val="baseline"/>
                <w:lang w:val="en-US" w:eastAsia="zh-CN"/>
              </w:rPr>
              <w:t>商业</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企业</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vertAlign w:val="baseline"/>
                <w:lang w:val="en-US" w:eastAsia="zh-CN"/>
              </w:rPr>
            </w:pPr>
            <w:r>
              <w:rPr>
                <w:rFonts w:hint="eastAsia"/>
                <w:sz w:val="21"/>
                <w:szCs w:val="21"/>
                <w:vertAlign w:val="baseline"/>
                <w:lang w:val="en-US" w:eastAsia="zh-CN"/>
              </w:rPr>
              <w:t>科研</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机构</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vertAlign w:val="baseline"/>
                <w:lang w:val="en-US" w:eastAsia="zh-CN"/>
              </w:rPr>
            </w:pPr>
            <w:r>
              <w:rPr>
                <w:rFonts w:hint="eastAsia"/>
                <w:sz w:val="21"/>
                <w:szCs w:val="21"/>
                <w:vertAlign w:val="baseline"/>
                <w:lang w:val="en-US" w:eastAsia="zh-CN"/>
              </w:rPr>
              <w:t>社会公</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益组织</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vertAlign w:val="baseline"/>
                <w:lang w:val="en-US" w:eastAsia="zh-CN"/>
              </w:rPr>
            </w:pPr>
            <w:r>
              <w:rPr>
                <w:rFonts w:hint="eastAsia"/>
                <w:sz w:val="21"/>
                <w:szCs w:val="21"/>
                <w:vertAlign w:val="baseline"/>
                <w:lang w:val="en-US" w:eastAsia="zh-CN"/>
              </w:rPr>
              <w:t>法律服</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务机构</w:t>
            </w:r>
          </w:p>
        </w:tc>
        <w:tc>
          <w:tcPr>
            <w:tcW w:w="45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其他</w:t>
            </w:r>
          </w:p>
        </w:tc>
        <w:tc>
          <w:tcPr>
            <w:tcW w:w="52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一、本年新收政府信息公开申请数量</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二、上年结转政府信息公开申请数量</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sz w:val="21"/>
                <w:szCs w:val="21"/>
                <w:vertAlign w:val="baseline"/>
                <w:lang w:val="en-US" w:eastAsia="zh-CN"/>
              </w:rPr>
            </w:pPr>
            <w:r>
              <w:rPr>
                <w:rFonts w:hint="eastAsia"/>
                <w:sz w:val="21"/>
                <w:szCs w:val="21"/>
                <w:vertAlign w:val="baseline"/>
                <w:lang w:val="en-US" w:eastAsia="zh-CN"/>
              </w:rPr>
              <w:t>三、</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本年度办理结果</w:t>
            </w:r>
          </w:p>
        </w:tc>
        <w:tc>
          <w:tcPr>
            <w:tcW w:w="3253"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（一）予以公开</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3253" w:type="dxa"/>
            <w:gridSpan w:val="2"/>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（二）部分公开（区分处理的，只计这一情形，不计其他情形）</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6"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65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vertAlign w:val="baseline"/>
                <w:lang w:val="en-US" w:eastAsia="zh-CN"/>
              </w:rPr>
            </w:pPr>
            <w:r>
              <w:rPr>
                <w:rFonts w:hint="eastAsia"/>
                <w:sz w:val="21"/>
                <w:szCs w:val="21"/>
                <w:vertAlign w:val="baseline"/>
                <w:lang w:val="en-US" w:eastAsia="zh-CN"/>
              </w:rPr>
              <w:t>(三)</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不予公开</w:t>
            </w:r>
          </w:p>
        </w:tc>
        <w:tc>
          <w:tcPr>
            <w:tcW w:w="26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1.属于国家秘密</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6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c>
          <w:tcPr>
            <w:tcW w:w="260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2.其他法律行政法规禁止公开</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6"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6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c>
          <w:tcPr>
            <w:tcW w:w="26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3.危及“三安全一稳定”</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6"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6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c>
          <w:tcPr>
            <w:tcW w:w="26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4.保护第三方合法权益</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6"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6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c>
          <w:tcPr>
            <w:tcW w:w="26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5.属于三类内部事务信息</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6"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6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c>
          <w:tcPr>
            <w:tcW w:w="26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6.属于四类过程信息</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6"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6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c>
          <w:tcPr>
            <w:tcW w:w="26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7.属于行政执法案卷</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6"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6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c>
          <w:tcPr>
            <w:tcW w:w="26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8.属于行政查询事项</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65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(四)无法提供</w:t>
            </w:r>
          </w:p>
        </w:tc>
        <w:tc>
          <w:tcPr>
            <w:tcW w:w="260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1.本机关不掌握相关政府信息</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6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c>
          <w:tcPr>
            <w:tcW w:w="260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2.没有现成信息需要另行制作</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6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c>
          <w:tcPr>
            <w:tcW w:w="260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3.补正后申请内容仍不明确</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6"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65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(五)不予处理</w:t>
            </w:r>
          </w:p>
        </w:tc>
        <w:tc>
          <w:tcPr>
            <w:tcW w:w="26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1.信访举报投诉类申请</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6"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650"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26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2.重复申请</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6"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650"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26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3.要求提供公开出版物</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650"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260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4.无正当理由大量反复申请</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6"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650" w:type="dxa"/>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p>
        </w:tc>
        <w:tc>
          <w:tcPr>
            <w:tcW w:w="260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5.要求行政机关确认或重新出具已获取信息</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6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p>
        </w:tc>
        <w:tc>
          <w:tcPr>
            <w:tcW w:w="65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(六)其他处理</w:t>
            </w:r>
          </w:p>
        </w:tc>
        <w:tc>
          <w:tcPr>
            <w:tcW w:w="26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sz w:val="21"/>
                <w:szCs w:val="21"/>
                <w:vertAlign w:val="baseline"/>
                <w:lang w:val="en-US" w:eastAsia="zh-CN"/>
              </w:rPr>
            </w:pPr>
            <w:r>
              <w:rPr>
                <w:rFonts w:hint="eastAsia"/>
                <w:sz w:val="21"/>
                <w:szCs w:val="21"/>
                <w:vertAlign w:val="baseline"/>
                <w:lang w:val="en-US" w:eastAsia="zh-CN"/>
              </w:rPr>
              <w:t>1.申请人无正当理由逾期不补正、行政机关不再处理其政府信息公开申请</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6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pPr>
          </w:p>
        </w:tc>
        <w:tc>
          <w:tcPr>
            <w:tcW w:w="6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pPr>
          </w:p>
        </w:tc>
        <w:tc>
          <w:tcPr>
            <w:tcW w:w="26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sz w:val="21"/>
                <w:szCs w:val="21"/>
                <w:vertAlign w:val="baseline"/>
                <w:lang w:val="en-US" w:eastAsia="zh-CN"/>
              </w:rPr>
            </w:pPr>
            <w:r>
              <w:rPr>
                <w:rFonts w:hint="eastAsia"/>
                <w:sz w:val="21"/>
                <w:szCs w:val="21"/>
                <w:vertAlign w:val="baseline"/>
                <w:lang w:val="en-US" w:eastAsia="zh-CN"/>
              </w:rPr>
              <w:t>2.申请人逾期未按收费通知要求缴纳费用、行政机关不再处理其政府信息公开申请</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6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sz w:val="21"/>
                <w:szCs w:val="21"/>
                <w:vertAlign w:val="baseline"/>
                <w:lang w:val="en-US" w:eastAsia="zh-CN"/>
              </w:rPr>
            </w:pPr>
          </w:p>
        </w:tc>
        <w:tc>
          <w:tcPr>
            <w:tcW w:w="6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sz w:val="21"/>
                <w:szCs w:val="21"/>
                <w:vertAlign w:val="baseline"/>
                <w:lang w:val="en-US" w:eastAsia="zh-CN"/>
              </w:rPr>
            </w:pPr>
          </w:p>
        </w:tc>
        <w:tc>
          <w:tcPr>
            <w:tcW w:w="26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sz w:val="21"/>
                <w:szCs w:val="21"/>
                <w:vertAlign w:val="baseline"/>
                <w:lang w:val="en-US" w:eastAsia="zh-CN"/>
              </w:rPr>
            </w:pPr>
            <w:r>
              <w:rPr>
                <w:rFonts w:hint="eastAsia"/>
                <w:sz w:val="21"/>
                <w:szCs w:val="21"/>
                <w:vertAlign w:val="baseline"/>
                <w:lang w:val="en-US" w:eastAsia="zh-CN"/>
              </w:rPr>
              <w:t>3.其他</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p>
        </w:tc>
        <w:tc>
          <w:tcPr>
            <w:tcW w:w="3253"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（七）总计</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sz w:val="21"/>
                <w:szCs w:val="21"/>
                <w:vertAlign w:val="baseline"/>
                <w:lang w:val="en-US" w:eastAsia="zh-CN"/>
              </w:rPr>
            </w:pPr>
            <w:r>
              <w:rPr>
                <w:rFonts w:hint="eastAsia"/>
                <w:sz w:val="21"/>
                <w:szCs w:val="21"/>
                <w:vertAlign w:val="baseline"/>
                <w:lang w:val="en-US" w:eastAsia="zh-CN"/>
              </w:rPr>
              <w:t>四、结转下年度继续办理</w:t>
            </w:r>
          </w:p>
        </w:tc>
        <w:tc>
          <w:tcPr>
            <w:tcW w:w="612"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7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669"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924"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853"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457"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26" w:type="dxa"/>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1"/>
                <w:szCs w:val="21"/>
                <w:vertAlign w:val="baseline"/>
                <w:lang w:val="en-US" w:eastAsia="zh-CN"/>
              </w:rPr>
            </w:pPr>
            <w:r>
              <w:rPr>
                <w:rFonts w:hint="eastAsia"/>
                <w:sz w:val="21"/>
                <w:szCs w:val="21"/>
                <w:vertAlign w:val="baseline"/>
                <w:lang w:val="en-US" w:eastAsia="zh-CN"/>
              </w:rPr>
              <w:t>0</w:t>
            </w:r>
          </w:p>
        </w:tc>
      </w:tr>
    </w:tbl>
    <w:p>
      <w:pPr>
        <w:rPr>
          <w:rFonts w:hint="eastAsia" w:ascii="黑体" w:hAnsi="黑体" w:eastAsia="黑体" w:cs="黑体"/>
          <w:lang w:val="en-US" w:eastAsia="zh-CN"/>
        </w:rPr>
      </w:pPr>
    </w:p>
    <w:p>
      <w:pPr>
        <w:ind w:firstLine="640" w:firstLineChars="200"/>
        <w:rPr>
          <w:rFonts w:hint="eastAsia" w:ascii="黑体" w:hAnsi="黑体" w:eastAsia="黑体" w:cs="黑体"/>
          <w:lang w:val="en-US" w:eastAsia="zh-CN"/>
        </w:rPr>
      </w:pPr>
      <w:r>
        <w:rPr>
          <w:rFonts w:hint="eastAsia" w:ascii="黑体" w:hAnsi="黑体" w:eastAsia="黑体" w:cs="黑体"/>
          <w:lang w:val="en-US" w:eastAsia="zh-CN"/>
        </w:rPr>
        <w:t>四、政府信息公开行政复议、行政诉讼情况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8"/>
        <w:gridCol w:w="568"/>
        <w:gridCol w:w="568"/>
        <w:gridCol w:w="568"/>
        <w:gridCol w:w="568"/>
        <w:gridCol w:w="568"/>
        <w:gridCol w:w="568"/>
        <w:gridCol w:w="568"/>
        <w:gridCol w:w="568"/>
        <w:gridCol w:w="568"/>
        <w:gridCol w:w="568"/>
        <w:gridCol w:w="568"/>
        <w:gridCol w:w="568"/>
        <w:gridCol w:w="569"/>
        <w:gridCol w:w="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40"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行政复议</w:t>
            </w:r>
          </w:p>
        </w:tc>
        <w:tc>
          <w:tcPr>
            <w:tcW w:w="5682" w:type="dxa"/>
            <w:gridSpan w:val="1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结果维持</w:t>
            </w:r>
          </w:p>
        </w:tc>
        <w:tc>
          <w:tcPr>
            <w:tcW w:w="56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结果纠正</w:t>
            </w:r>
          </w:p>
        </w:tc>
        <w:tc>
          <w:tcPr>
            <w:tcW w:w="56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其他结果</w:t>
            </w:r>
          </w:p>
        </w:tc>
        <w:tc>
          <w:tcPr>
            <w:tcW w:w="56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尚未审结</w:t>
            </w:r>
          </w:p>
        </w:tc>
        <w:tc>
          <w:tcPr>
            <w:tcW w:w="56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总计</w:t>
            </w:r>
          </w:p>
        </w:tc>
        <w:tc>
          <w:tcPr>
            <w:tcW w:w="2840"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未经复议直接起诉</w:t>
            </w:r>
          </w:p>
        </w:tc>
        <w:tc>
          <w:tcPr>
            <w:tcW w:w="2842"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c>
          <w:tcPr>
            <w:tcW w:w="56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c>
          <w:tcPr>
            <w:tcW w:w="56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c>
          <w:tcPr>
            <w:tcW w:w="56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c>
          <w:tcPr>
            <w:tcW w:w="56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结果维持</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结果纠正</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其他结果</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尚未审结</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总计</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结果维持</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结果纠正</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其他结果</w:t>
            </w:r>
          </w:p>
        </w:tc>
        <w:tc>
          <w:tcPr>
            <w:tcW w:w="5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尚未审结</w:t>
            </w:r>
          </w:p>
        </w:tc>
        <w:tc>
          <w:tcPr>
            <w:tcW w:w="5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c>
          <w:tcPr>
            <w:tcW w:w="56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sz w:val="21"/>
                <w:szCs w:val="21"/>
                <w:vertAlign w:val="baseline"/>
                <w:lang w:val="en-US" w:eastAsia="zh-CN"/>
              </w:rPr>
            </w:pPr>
            <w:r>
              <w:rPr>
                <w:rFonts w:hint="eastAsia"/>
                <w:sz w:val="21"/>
                <w:szCs w:val="21"/>
                <w:vertAlign w:val="baseline"/>
                <w:lang w:val="en-US" w:eastAsia="zh-CN"/>
              </w:rPr>
              <w:t>0</w:t>
            </w:r>
          </w:p>
        </w:tc>
      </w:tr>
    </w:tbl>
    <w:p>
      <w:pPr>
        <w:rPr>
          <w:rFonts w:hint="default"/>
          <w:lang w:val="en-US" w:eastAsia="zh-CN"/>
        </w:rPr>
      </w:pPr>
    </w:p>
    <w:p>
      <w:pPr>
        <w:ind w:firstLine="640" w:firstLineChars="200"/>
        <w:rPr>
          <w:rFonts w:hint="default" w:ascii="黑体" w:hAnsi="黑体" w:eastAsia="黑体" w:cs="黑体"/>
          <w:lang w:val="en-US" w:eastAsia="zh-CN"/>
        </w:rPr>
      </w:pPr>
      <w:r>
        <w:rPr>
          <w:rFonts w:hint="eastAsia" w:ascii="黑体" w:hAnsi="黑体" w:eastAsia="黑体" w:cs="黑体"/>
          <w:lang w:val="en-US" w:eastAsia="zh-CN"/>
        </w:rPr>
        <w:t>五、存在的主要问题及改进情况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eastAsia"/>
        </w:rPr>
      </w:pPr>
      <w:r>
        <w:rPr>
          <w:rFonts w:hint="eastAsia"/>
        </w:rPr>
        <w:t>虽然</w:t>
      </w:r>
      <w:r>
        <w:rPr>
          <w:rFonts w:hint="eastAsia"/>
          <w:lang w:val="en-US" w:eastAsia="zh-CN"/>
        </w:rPr>
        <w:t>我</w:t>
      </w:r>
      <w:r>
        <w:rPr>
          <w:rFonts w:hint="eastAsia"/>
        </w:rPr>
        <w:t>局一直致力于规范、强化政务公开工作，但对照工作最高标准仍存在一定的差距：一是重点领域政府信息公开深度不够；二是政府信息公开工作队伍能力建设还需进一步加强等。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default" w:eastAsia="仿宋"/>
          <w:lang w:val="en-US" w:eastAsia="zh-CN"/>
        </w:rPr>
      </w:pPr>
      <w:r>
        <w:rPr>
          <w:rFonts w:hint="eastAsia"/>
        </w:rPr>
        <w:t>针对以上问题，我局将采取以下改进措施：一着力深化重点领域信息公开，切实提升公开质量和实效，更好地服务经济社会发展。二是着力加强公开工作队伍建设，充实人员力量，制定业务培训计划，切实提高人员队伍的综合素质和业务能力。</w:t>
      </w:r>
    </w:p>
    <w:p>
      <w:pPr>
        <w:ind w:firstLine="640" w:firstLineChars="200"/>
        <w:rPr>
          <w:rFonts w:hint="eastAsia" w:ascii="黑体" w:hAnsi="黑体" w:eastAsia="黑体" w:cs="黑体"/>
          <w:lang w:val="en-US" w:eastAsia="zh-CN"/>
        </w:rPr>
      </w:pPr>
      <w:r>
        <w:rPr>
          <w:rFonts w:hint="eastAsia" w:ascii="黑体" w:hAnsi="黑体" w:eastAsia="黑体" w:cs="黑体"/>
          <w:lang w:val="en-US" w:eastAsia="zh-CN"/>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default"/>
          <w:lang w:val="en-US" w:eastAsia="zh-CN"/>
        </w:rPr>
      </w:pPr>
      <w:r>
        <w:rPr>
          <w:rFonts w:hint="eastAsia"/>
          <w:lang w:val="en-US" w:eastAsia="zh-CN"/>
        </w:rPr>
        <w:t>无。</w:t>
      </w:r>
    </w:p>
    <w:p>
      <w:pPr>
        <w:wordWrap w:val="0"/>
        <w:jc w:val="right"/>
        <w:rPr>
          <w:rFonts w:hint="default"/>
          <w:lang w:val="en-US" w:eastAsia="zh-CN"/>
        </w:rPr>
      </w:pPr>
      <w:bookmarkStart w:id="0" w:name="_GoBack"/>
      <w:bookmarkEnd w:id="0"/>
    </w:p>
    <w:sectPr>
      <w:pgSz w:w="11906" w:h="16838"/>
      <w:pgMar w:top="0" w:right="1800" w:bottom="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954690"/>
    <w:rsid w:val="00D01F56"/>
    <w:rsid w:val="036C0B03"/>
    <w:rsid w:val="040B393C"/>
    <w:rsid w:val="05EB2CD1"/>
    <w:rsid w:val="083F39AD"/>
    <w:rsid w:val="0E3D68FE"/>
    <w:rsid w:val="0E663BA9"/>
    <w:rsid w:val="139C1D68"/>
    <w:rsid w:val="146844E7"/>
    <w:rsid w:val="1E954690"/>
    <w:rsid w:val="1EFC654D"/>
    <w:rsid w:val="2C9E6793"/>
    <w:rsid w:val="2DE53548"/>
    <w:rsid w:val="32EE5477"/>
    <w:rsid w:val="38816E8D"/>
    <w:rsid w:val="38CE41FB"/>
    <w:rsid w:val="3D726D38"/>
    <w:rsid w:val="4FD7759B"/>
    <w:rsid w:val="62A837B5"/>
    <w:rsid w:val="643C4D55"/>
    <w:rsid w:val="656D3E28"/>
    <w:rsid w:val="679906DC"/>
    <w:rsid w:val="681C1BB1"/>
    <w:rsid w:val="7CBE364C"/>
    <w:rsid w:val="7D2F13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 w:cstheme="minorBidi"/>
      <w:kern w:val="2"/>
      <w:sz w:val="32"/>
      <w:szCs w:val="32"/>
      <w:lang w:val="en-US" w:eastAsia="zh-CN" w:bidi="ar-SA"/>
    </w:rPr>
  </w:style>
  <w:style w:type="paragraph" w:styleId="2">
    <w:name w:val="heading 1"/>
    <w:basedOn w:val="1"/>
    <w:next w:val="1"/>
    <w:qFormat/>
    <w:uiPriority w:val="0"/>
    <w:pPr>
      <w:keepNext/>
      <w:keepLines/>
      <w:spacing w:beforeLines="0" w:beforeAutospacing="0" w:after="50" w:afterLines="50" w:afterAutospacing="0" w:line="600" w:lineRule="exact"/>
      <w:jc w:val="center"/>
      <w:outlineLvl w:val="0"/>
    </w:pPr>
    <w:rPr>
      <w:rFonts w:eastAsia="方正小标宋简体"/>
      <w:kern w:val="44"/>
      <w:sz w:val="44"/>
    </w:rPr>
  </w:style>
  <w:style w:type="paragraph" w:styleId="3">
    <w:name w:val="heading 2"/>
    <w:basedOn w:val="1"/>
    <w:next w:val="1"/>
    <w:unhideWhenUsed/>
    <w:qFormat/>
    <w:uiPriority w:val="0"/>
    <w:pPr>
      <w:keepNext/>
      <w:keepLines/>
      <w:spacing w:beforeLines="0" w:beforeAutospacing="0" w:afterLines="0" w:afterAutospacing="0" w:line="600" w:lineRule="exact"/>
      <w:outlineLvl w:val="1"/>
    </w:pPr>
    <w:rPr>
      <w:rFonts w:ascii="Arial" w:hAnsi="Arial" w:eastAsia="黑体"/>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302</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2019-12-16T00:42:00Z</dcterms:created>
  <dc:creator>晴珞</dc:creator>
  <cp:lastModifiedBy>晴珞</cp:lastModifiedBy>
  <cp:lastPrinted>2022-01-24T06:49:00Z</cp:lastPrinted>
  <dcterms:modified xsi:type="dcterms:W3CDTF">2022-01-26T01:59:34Z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F1B5298BBECA437BBAF48600559F3F3A</vt:lpwstr>
  </property>
</Properties>
</file>