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9"/>
          <w:rFonts w:hint="eastAsia" w:ascii="方正小标宋简体" w:hAnsi="方正小标宋简体" w:eastAsia="方正小标宋简体" w:cs="方正小标宋简体"/>
          <w:i w:val="0"/>
          <w:caps w:val="0"/>
          <w:color w:val="1B1B1B"/>
          <w:spacing w:val="0"/>
          <w:sz w:val="44"/>
          <w:szCs w:val="44"/>
          <w:u w:val="none"/>
          <w:shd w:val="clear" w:fill="FFFFFF"/>
        </w:rPr>
      </w:pPr>
      <w:r>
        <w:rPr>
          <w:rFonts w:hint="eastAsia" w:ascii="方正小标宋简体" w:hAnsi="方正小标宋简体" w:eastAsia="方正小标宋简体" w:cs="方正小标宋简体"/>
          <w:i w:val="0"/>
          <w:caps w:val="0"/>
          <w:color w:val="1B1B1B"/>
          <w:spacing w:val="0"/>
          <w:sz w:val="44"/>
          <w:szCs w:val="44"/>
          <w:u w:val="none"/>
          <w:shd w:val="clear" w:fill="FFFFFF"/>
        </w:rPr>
        <w:fldChar w:fldCharType="begin"/>
      </w:r>
      <w:r>
        <w:rPr>
          <w:rFonts w:hint="eastAsia" w:ascii="方正小标宋简体" w:hAnsi="方正小标宋简体" w:eastAsia="方正小标宋简体" w:cs="方正小标宋简体"/>
          <w:i w:val="0"/>
          <w:caps w:val="0"/>
          <w:color w:val="1B1B1B"/>
          <w:spacing w:val="0"/>
          <w:sz w:val="44"/>
          <w:szCs w:val="44"/>
          <w:u w:val="none"/>
          <w:shd w:val="clear" w:fill="FFFFFF"/>
        </w:rPr>
        <w:instrText xml:space="preserve"> HYPERLINK "http://zwgk.mdj.gov.cn/ndbg/szbmbg/sczj_5490/202101/P020210423420168277196.pdf" \o "牡丹江市财政局2020年政府信息公开工作年度报告" \t "http://zwgk.mdj.gov.cn/ndbg/szbmbg/sczj_5490/_blank" </w:instrText>
      </w:r>
      <w:r>
        <w:rPr>
          <w:rFonts w:hint="eastAsia" w:ascii="方正小标宋简体" w:hAnsi="方正小标宋简体" w:eastAsia="方正小标宋简体" w:cs="方正小标宋简体"/>
          <w:i w:val="0"/>
          <w:caps w:val="0"/>
          <w:color w:val="1B1B1B"/>
          <w:spacing w:val="0"/>
          <w:sz w:val="44"/>
          <w:szCs w:val="44"/>
          <w:u w:val="none"/>
          <w:shd w:val="clear" w:fill="FFFFFF"/>
        </w:rPr>
        <w:fldChar w:fldCharType="separate"/>
      </w:r>
      <w:r>
        <w:rPr>
          <w:rStyle w:val="9"/>
          <w:rFonts w:hint="eastAsia" w:ascii="方正小标宋简体" w:hAnsi="方正小标宋简体" w:eastAsia="方正小标宋简体" w:cs="方正小标宋简体"/>
          <w:i w:val="0"/>
          <w:caps w:val="0"/>
          <w:color w:val="1B1B1B"/>
          <w:spacing w:val="0"/>
          <w:sz w:val="44"/>
          <w:szCs w:val="44"/>
          <w:u w:val="none"/>
          <w:shd w:val="clear" w:fill="FFFFFF"/>
        </w:rPr>
        <w:t>牡丹江市财政局202</w:t>
      </w:r>
      <w:r>
        <w:rPr>
          <w:rStyle w:val="9"/>
          <w:rFonts w:hint="eastAsia" w:ascii="方正小标宋简体" w:hAnsi="方正小标宋简体" w:eastAsia="方正小标宋简体" w:cs="方正小标宋简体"/>
          <w:i w:val="0"/>
          <w:caps w:val="0"/>
          <w:color w:val="1B1B1B"/>
          <w:spacing w:val="0"/>
          <w:sz w:val="44"/>
          <w:szCs w:val="44"/>
          <w:u w:val="none"/>
          <w:shd w:val="clear" w:fill="FFFFFF"/>
          <w:lang w:val="en-US" w:eastAsia="zh-CN"/>
        </w:rPr>
        <w:t>1</w:t>
      </w:r>
      <w:r>
        <w:rPr>
          <w:rStyle w:val="9"/>
          <w:rFonts w:hint="eastAsia" w:ascii="方正小标宋简体" w:hAnsi="方正小标宋简体" w:eastAsia="方正小标宋简体" w:cs="方正小标宋简体"/>
          <w:i w:val="0"/>
          <w:caps w:val="0"/>
          <w:color w:val="1B1B1B"/>
          <w:spacing w:val="0"/>
          <w:sz w:val="44"/>
          <w:szCs w:val="44"/>
          <w:u w:val="none"/>
          <w:shd w:val="clear" w:fill="FFFFFF"/>
        </w:rPr>
        <w:t>年政府</w:t>
      </w:r>
    </w:p>
    <w:p>
      <w:pPr>
        <w:jc w:val="center"/>
        <w:rPr>
          <w:rFonts w:hint="eastAsia" w:ascii="方正小标宋简体" w:hAnsi="方正小标宋简体" w:eastAsia="方正小标宋简体" w:cs="方正小标宋简体"/>
          <w:i w:val="0"/>
          <w:caps w:val="0"/>
          <w:color w:val="1B1B1B"/>
          <w:spacing w:val="0"/>
          <w:sz w:val="44"/>
          <w:szCs w:val="44"/>
          <w:u w:val="none"/>
          <w:shd w:val="clear" w:fill="FFFFFF"/>
        </w:rPr>
      </w:pPr>
      <w:r>
        <w:rPr>
          <w:rStyle w:val="9"/>
          <w:rFonts w:hint="eastAsia" w:ascii="方正小标宋简体" w:hAnsi="方正小标宋简体" w:eastAsia="方正小标宋简体" w:cs="方正小标宋简体"/>
          <w:i w:val="0"/>
          <w:caps w:val="0"/>
          <w:color w:val="1B1B1B"/>
          <w:spacing w:val="0"/>
          <w:sz w:val="44"/>
          <w:szCs w:val="44"/>
          <w:u w:val="none"/>
          <w:shd w:val="clear" w:fill="FFFFFF"/>
        </w:rPr>
        <w:t>信息公开工作年度报告</w:t>
      </w:r>
      <w:r>
        <w:rPr>
          <w:rFonts w:hint="eastAsia" w:ascii="方正小标宋简体" w:hAnsi="方正小标宋简体" w:eastAsia="方正小标宋简体" w:cs="方正小标宋简体"/>
          <w:i w:val="0"/>
          <w:caps w:val="0"/>
          <w:color w:val="1B1B1B"/>
          <w:spacing w:val="0"/>
          <w:sz w:val="44"/>
          <w:szCs w:val="44"/>
          <w:u w:val="none"/>
          <w:shd w:val="clear" w:fill="FFFFFF"/>
        </w:rPr>
        <w:fldChar w:fldCharType="end"/>
      </w:r>
    </w:p>
    <w:p>
      <w:pPr>
        <w:jc w:val="center"/>
        <w:rPr>
          <w:rFonts w:hint="eastAsia" w:ascii="方正小标宋简体" w:hAnsi="方正小标宋简体" w:eastAsia="方正小标宋简体" w:cs="方正小标宋简体"/>
          <w:i w:val="0"/>
          <w:caps w:val="0"/>
          <w:color w:val="1B1B1B"/>
          <w:spacing w:val="0"/>
          <w:sz w:val="21"/>
          <w:szCs w:val="21"/>
          <w:u w:val="none"/>
          <w:shd w:val="clear" w:fill="FFFFFF"/>
        </w:rPr>
      </w:pPr>
    </w:p>
    <w:p>
      <w:pPr>
        <w:jc w:val="center"/>
        <w:rPr>
          <w:rFonts w:hint="eastAsia" w:ascii="仿宋_GB2312" w:hAnsi="仿宋_GB2312" w:eastAsia="仿宋_GB2312" w:cs="仿宋_GB2312"/>
          <w:i w:val="0"/>
          <w:caps w:val="0"/>
          <w:color w:val="1B1B1B"/>
          <w:spacing w:val="0"/>
          <w:sz w:val="32"/>
          <w:szCs w:val="32"/>
          <w:u w:val="none"/>
          <w:shd w:val="clear" w:fill="FFFFFF"/>
          <w:lang w:val="en-US" w:eastAsia="zh-CN"/>
        </w:rPr>
      </w:pPr>
      <w:r>
        <w:rPr>
          <w:rFonts w:hint="eastAsia" w:ascii="仿宋_GB2312" w:hAnsi="仿宋_GB2312" w:eastAsia="仿宋_GB2312" w:cs="仿宋_GB2312"/>
          <w:i w:val="0"/>
          <w:caps w:val="0"/>
          <w:color w:val="1B1B1B"/>
          <w:spacing w:val="0"/>
          <w:sz w:val="32"/>
          <w:szCs w:val="32"/>
          <w:u w:val="none"/>
          <w:shd w:val="clear" w:fill="FFFFFF"/>
          <w:lang w:val="en-US" w:eastAsia="zh-CN"/>
        </w:rPr>
        <w:t>2022年1月27日</w:t>
      </w:r>
    </w:p>
    <w:p>
      <w:pPr>
        <w:jc w:val="center"/>
        <w:rPr>
          <w:rFonts w:hint="eastAsia" w:ascii="仿宋_GB2312" w:hAnsi="仿宋_GB2312" w:eastAsia="仿宋_GB2312" w:cs="仿宋_GB2312"/>
          <w:i w:val="0"/>
          <w:caps w:val="0"/>
          <w:color w:val="1B1B1B"/>
          <w:spacing w:val="0"/>
          <w:sz w:val="21"/>
          <w:szCs w:val="21"/>
          <w:u w:val="none"/>
          <w:shd w:val="clear" w:fill="FFFFFF"/>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i w:val="0"/>
          <w:caps w:val="0"/>
          <w:color w:val="1B1B1B"/>
          <w:spacing w:val="0"/>
          <w:sz w:val="32"/>
          <w:szCs w:val="32"/>
          <w:u w:val="none"/>
          <w:shd w:val="clear" w:fill="FFFFFF"/>
          <w:lang w:val="en-US" w:eastAsia="zh-CN"/>
        </w:rPr>
      </w:pPr>
      <w:r>
        <w:rPr>
          <w:rFonts w:hint="eastAsia" w:ascii="仿宋_GB2312" w:hAnsi="仿宋_GB2312" w:eastAsia="仿宋_GB2312" w:cs="仿宋_GB2312"/>
          <w:i w:val="0"/>
          <w:caps w:val="0"/>
          <w:color w:val="1B1B1B"/>
          <w:spacing w:val="0"/>
          <w:sz w:val="32"/>
          <w:szCs w:val="32"/>
          <w:u w:val="none"/>
          <w:shd w:val="clear" w:fill="FFFFFF"/>
          <w:lang w:val="en-US" w:eastAsia="zh-CN"/>
        </w:rPr>
        <w:t>2021年，根据《</w:t>
      </w:r>
      <w:r>
        <w:rPr>
          <w:rFonts w:ascii="仿宋_GB2312" w:hAnsi="宋体" w:eastAsia="仿宋_GB2312" w:cs="仿宋_GB2312"/>
          <w:i w:val="0"/>
          <w:caps w:val="0"/>
          <w:color w:val="333333"/>
          <w:spacing w:val="0"/>
          <w:sz w:val="36"/>
          <w:szCs w:val="36"/>
          <w:shd w:val="clear" w:fill="FFFFFF"/>
        </w:rPr>
        <w:t>中华人民共和国政府信息公开条例</w:t>
      </w:r>
      <w:r>
        <w:rPr>
          <w:rFonts w:hint="eastAsia" w:ascii="仿宋_GB2312" w:hAnsi="仿宋_GB2312" w:eastAsia="仿宋_GB2312" w:cs="仿宋_GB2312"/>
          <w:i w:val="0"/>
          <w:caps w:val="0"/>
          <w:color w:val="1B1B1B"/>
          <w:spacing w:val="0"/>
          <w:sz w:val="32"/>
          <w:szCs w:val="32"/>
          <w:u w:val="none"/>
          <w:shd w:val="clear" w:fill="FFFFFF"/>
          <w:lang w:val="en-US" w:eastAsia="zh-CN"/>
        </w:rPr>
        <w:t>》和《国务院办公厅政府信息与政务公开办公室关于印发中华人民共和国政府信息公开工作年度报告格式》的通知（</w:t>
      </w:r>
      <w:r>
        <w:rPr>
          <w:rFonts w:ascii="仿宋_GB2312" w:hAnsi="宋体" w:eastAsia="仿宋_GB2312" w:cs="仿宋_GB2312"/>
          <w:i w:val="0"/>
          <w:caps w:val="0"/>
          <w:color w:val="333333"/>
          <w:spacing w:val="0"/>
          <w:sz w:val="36"/>
          <w:szCs w:val="36"/>
          <w:shd w:val="clear" w:fill="FFFFFF"/>
        </w:rPr>
        <w:t>国办公开办函〔2021〕30号</w:t>
      </w:r>
      <w:r>
        <w:rPr>
          <w:rFonts w:hint="eastAsia" w:ascii="仿宋_GB2312" w:hAnsi="仿宋_GB2312" w:eastAsia="仿宋_GB2312" w:cs="仿宋_GB2312"/>
          <w:i w:val="0"/>
          <w:caps w:val="0"/>
          <w:color w:val="1B1B1B"/>
          <w:spacing w:val="0"/>
          <w:sz w:val="32"/>
          <w:szCs w:val="32"/>
          <w:u w:val="none"/>
          <w:shd w:val="clear" w:fill="FFFFFF"/>
          <w:lang w:val="en-US" w:eastAsia="zh-CN"/>
        </w:rPr>
        <w:t>）的要求，结合财政工作实际情况形成报告。统计时间自2021年1月1日起至2021年12</w:t>
      </w:r>
      <w:bookmarkStart w:id="0" w:name="_GoBack"/>
      <w:bookmarkEnd w:id="0"/>
      <w:r>
        <w:rPr>
          <w:rFonts w:hint="eastAsia" w:ascii="仿宋_GB2312" w:hAnsi="仿宋_GB2312" w:eastAsia="仿宋_GB2312" w:cs="仿宋_GB2312"/>
          <w:i w:val="0"/>
          <w:caps w:val="0"/>
          <w:color w:val="1B1B1B"/>
          <w:spacing w:val="0"/>
          <w:sz w:val="32"/>
          <w:szCs w:val="32"/>
          <w:u w:val="none"/>
          <w:shd w:val="clear" w:fill="FFFFFF"/>
          <w:lang w:val="en-US" w:eastAsia="zh-CN"/>
        </w:rPr>
        <w:t>月31日。</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10" w:leftChars="0" w:firstLine="640" w:firstLineChars="0"/>
        <w:jc w:val="both"/>
        <w:textAlignment w:val="auto"/>
        <w:rPr>
          <w:rFonts w:hint="eastAsia" w:ascii="黑体" w:hAnsi="黑体" w:eastAsia="黑体" w:cs="黑体"/>
          <w:i w:val="0"/>
          <w:caps w:val="0"/>
          <w:color w:val="1B1B1B"/>
          <w:spacing w:val="0"/>
          <w:sz w:val="32"/>
          <w:szCs w:val="32"/>
          <w:u w:val="none"/>
          <w:shd w:val="clear" w:fill="FFFFFF"/>
          <w:lang w:val="en-US" w:eastAsia="zh-CN"/>
        </w:rPr>
      </w:pPr>
      <w:r>
        <w:rPr>
          <w:rFonts w:hint="eastAsia" w:ascii="黑体" w:hAnsi="黑体" w:eastAsia="黑体" w:cs="黑体"/>
          <w:i w:val="0"/>
          <w:caps w:val="0"/>
          <w:color w:val="1B1B1B"/>
          <w:spacing w:val="0"/>
          <w:sz w:val="32"/>
          <w:szCs w:val="32"/>
          <w:u w:val="none"/>
          <w:shd w:val="clear" w:fill="FFFFFF"/>
          <w:lang w:val="en-US" w:eastAsia="zh-CN"/>
        </w:rPr>
        <w:t>总体情况</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楷体" w:hAnsi="楷体" w:eastAsia="楷体" w:cs="楷体"/>
          <w:b/>
          <w:bCs/>
          <w:i w:val="0"/>
          <w:caps w:val="0"/>
          <w:color w:val="333333"/>
          <w:spacing w:val="0"/>
          <w:sz w:val="32"/>
          <w:szCs w:val="32"/>
          <w:shd w:val="clear" w:fill="FFFFFF"/>
          <w:lang w:val="en-US" w:eastAsia="zh-CN"/>
        </w:rPr>
        <w:t>1.2021年政府信息公开工作的情况。</w:t>
      </w:r>
      <w:r>
        <w:rPr>
          <w:rFonts w:hint="eastAsia" w:ascii="仿宋_GB2312" w:hAnsi="宋体" w:eastAsia="仿宋_GB2312" w:cs="仿宋_GB2312"/>
          <w:i w:val="0"/>
          <w:caps w:val="0"/>
          <w:color w:val="333333"/>
          <w:spacing w:val="0"/>
          <w:sz w:val="32"/>
          <w:szCs w:val="32"/>
          <w:u w:val="none"/>
          <w:shd w:val="clear" w:fill="FFFFFF"/>
          <w:lang w:val="en-US" w:eastAsia="zh-CN"/>
        </w:rPr>
        <w:t>2021年，市财政局严格按照 “全面、及时、准确、规范”的原则，并结合</w:t>
      </w:r>
      <w:r>
        <w:rPr>
          <w:rFonts w:hint="eastAsia" w:ascii="仿宋_GB2312" w:hAnsi="宋体" w:eastAsia="仿宋_GB2312" w:cs="仿宋_GB2312"/>
          <w:i w:val="0"/>
          <w:caps w:val="0"/>
          <w:color w:val="333333"/>
          <w:spacing w:val="0"/>
          <w:sz w:val="32"/>
          <w:szCs w:val="32"/>
          <w:u w:val="none"/>
          <w:shd w:val="clear" w:fill="FFFFFF"/>
          <w:lang w:eastAsia="zh-CN"/>
        </w:rPr>
        <w:t>工作</w:t>
      </w:r>
      <w:r>
        <w:rPr>
          <w:rFonts w:hint="eastAsia" w:ascii="仿宋_GB2312" w:hAnsi="宋体" w:eastAsia="仿宋_GB2312" w:cs="仿宋_GB2312"/>
          <w:i w:val="0"/>
          <w:caps w:val="0"/>
          <w:color w:val="333333"/>
          <w:spacing w:val="0"/>
          <w:sz w:val="32"/>
          <w:szCs w:val="32"/>
          <w:u w:val="none"/>
          <w:shd w:val="clear" w:fill="FFFFFF"/>
        </w:rPr>
        <w:t>实际情况，</w:t>
      </w:r>
      <w:r>
        <w:rPr>
          <w:rFonts w:hint="eastAsia" w:ascii="仿宋_GB2312" w:hAnsi="宋体" w:eastAsia="仿宋_GB2312" w:cs="仿宋_GB2312"/>
          <w:i w:val="0"/>
          <w:caps w:val="0"/>
          <w:color w:val="333333"/>
          <w:spacing w:val="0"/>
          <w:sz w:val="32"/>
          <w:szCs w:val="32"/>
          <w:u w:val="none"/>
          <w:shd w:val="clear" w:fill="FFFFFF"/>
          <w:lang w:val="en-US" w:eastAsia="zh-CN"/>
        </w:rPr>
        <w:t>通过政府网站主动公开政府信息173条，其中社会保障4条、国有企业信息23条、疫情防控信息44条、行政事业性收费13条、财政预决算信息84条、</w:t>
      </w:r>
      <w:r>
        <w:rPr>
          <w:rFonts w:hint="eastAsia" w:ascii="仿宋_GB2312" w:hAnsi="宋体" w:eastAsia="仿宋_GB2312" w:cs="仿宋_GB2312"/>
          <w:i w:val="0"/>
          <w:caps w:val="0"/>
          <w:color w:val="333333"/>
          <w:spacing w:val="0"/>
          <w:sz w:val="32"/>
          <w:szCs w:val="32"/>
          <w:u w:val="none"/>
          <w:shd w:val="clear" w:fill="FFFFFF"/>
        </w:rPr>
        <mc:AlternateContent>
          <mc:Choice Requires="wps">
            <w:drawing>
              <wp:anchor distT="0" distB="0" distL="114300" distR="114300" simplePos="0" relativeHeight="251658240" behindDoc="0" locked="0" layoutInCell="1" allowOverlap="1">
                <wp:simplePos x="0" y="0"/>
                <wp:positionH relativeFrom="column">
                  <wp:posOffset>-163195</wp:posOffset>
                </wp:positionH>
                <wp:positionV relativeFrom="paragraph">
                  <wp:posOffset>8608695</wp:posOffset>
                </wp:positionV>
                <wp:extent cx="5657850" cy="635"/>
                <wp:effectExtent l="0" t="28575" r="0" b="46990"/>
                <wp:wrapNone/>
                <wp:docPr id="1" name="直接连接符 1"/>
                <wp:cNvGraphicFramePr/>
                <a:graphic xmlns:a="http://schemas.openxmlformats.org/drawingml/2006/main">
                  <a:graphicData uri="http://schemas.microsoft.com/office/word/2010/wordprocessingShape">
                    <wps:wsp>
                      <wps:cNvCnPr/>
                      <wps:spPr>
                        <a:xfrm>
                          <a:off x="0" y="0"/>
                          <a:ext cx="5657850" cy="635"/>
                        </a:xfrm>
                        <a:prstGeom prst="line">
                          <a:avLst/>
                        </a:prstGeom>
                        <a:ln w="57150" cap="flat" cmpd="thinThick">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85pt;margin-top:677.85pt;height:0.05pt;width:445.5pt;z-index:251658240;mso-width-relative:page;mso-height-relative:page;" filled="f" stroked="t" coordsize="21600,21600" o:gfxdata="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1OpRg2QAAAA0B&#10;AAAPAAAAAAAAAAEAIAAAACIAAABkcnMvZG93bnJldi54bWxQSwECFAAUAAAACACHTuJA6IUCbuEB&#10;AACfAwAADgAAAAAAAAABACAAAAAoAQAAZHJzL2Uyb0RvYy54bWxQSwUGAAAAAAYABgBZAQAAewUA&#10;AAAA&#10;">
                <v:fill on="f" focussize="0,0"/>
                <v:stroke weight="4.5pt" color="#FF0000" linestyle="thinThick" joinstyle="round"/>
                <v:imagedata o:title=""/>
                <o:lock v:ext="edit" aspectratio="f"/>
              </v:line>
            </w:pict>
          </mc:Fallback>
        </mc:AlternateContent>
      </w:r>
      <w:r>
        <w:rPr>
          <w:rFonts w:hint="eastAsia" w:ascii="仿宋_GB2312" w:hAnsi="宋体" w:eastAsia="仿宋_GB2312" w:cs="仿宋_GB2312"/>
          <w:i w:val="0"/>
          <w:caps w:val="0"/>
          <w:color w:val="333333"/>
          <w:spacing w:val="0"/>
          <w:sz w:val="32"/>
          <w:szCs w:val="32"/>
          <w:u w:val="none"/>
          <w:shd w:val="clear" w:fill="FFFFFF"/>
          <w:lang w:eastAsia="zh-CN"/>
        </w:rPr>
        <w:t>惠民惠农财政补贴金信息</w:t>
      </w:r>
      <w:r>
        <w:rPr>
          <w:rFonts w:hint="eastAsia" w:ascii="仿宋_GB2312" w:hAnsi="宋体" w:eastAsia="仿宋_GB2312" w:cs="仿宋_GB2312"/>
          <w:i w:val="0"/>
          <w:caps w:val="0"/>
          <w:color w:val="333333"/>
          <w:spacing w:val="0"/>
          <w:sz w:val="32"/>
          <w:szCs w:val="32"/>
          <w:u w:val="none"/>
          <w:shd w:val="clear" w:fill="FFFFFF"/>
          <w:lang w:val="en-US" w:eastAsia="zh-CN"/>
        </w:rPr>
        <w:t>3条、其他信息2条。</w:t>
      </w:r>
      <w:r>
        <w:rPr>
          <w:rFonts w:hint="eastAsia" w:ascii="仿宋_GB2312" w:hAnsi="宋体" w:eastAsia="仿宋_GB2312" w:cs="仿宋_GB2312"/>
          <w:i w:val="0"/>
          <w:caps w:val="0"/>
          <w:color w:val="333333"/>
          <w:spacing w:val="0"/>
          <w:sz w:val="32"/>
          <w:szCs w:val="32"/>
          <w:u w:val="none"/>
          <w:shd w:val="clear" w:fill="FFFFFF"/>
        </w:rPr>
        <w:t>同时建立健全政府信息公开机制，专人负责政务信息公开落实情况</w:t>
      </w:r>
      <w:r>
        <w:rPr>
          <w:rFonts w:hint="eastAsia" w:ascii="仿宋_GB2312" w:hAnsi="仿宋_GB2312" w:eastAsia="仿宋_GB2312" w:cs="仿宋_GB2312"/>
          <w:color w:val="333333"/>
          <w:kern w:val="0"/>
          <w:sz w:val="32"/>
          <w:szCs w:val="32"/>
          <w:u w:val="none"/>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3" w:firstLineChars="200"/>
        <w:jc w:val="both"/>
        <w:textAlignment w:val="auto"/>
        <w:rPr>
          <w:rFonts w:ascii="仿宋" w:hAnsi="仿宋" w:eastAsia="仿宋" w:cs="仿宋"/>
          <w:i w:val="0"/>
          <w:caps w:val="0"/>
          <w:color w:val="000000"/>
          <w:spacing w:val="0"/>
          <w:sz w:val="32"/>
          <w:szCs w:val="32"/>
          <w:shd w:val="clear" w:fill="FFFFFF"/>
        </w:rPr>
      </w:pPr>
      <w:r>
        <w:rPr>
          <w:rFonts w:hint="eastAsia" w:ascii="楷体" w:hAnsi="楷体" w:eastAsia="楷体" w:cs="楷体"/>
          <w:b/>
          <w:i w:val="0"/>
          <w:caps w:val="0"/>
          <w:color w:val="000000"/>
          <w:spacing w:val="0"/>
          <w:sz w:val="32"/>
          <w:szCs w:val="32"/>
          <w:shd w:val="clear" w:fill="FFFFFF"/>
          <w:lang w:val="en-US" w:eastAsia="zh-CN"/>
        </w:rPr>
        <w:t>2.</w:t>
      </w:r>
      <w:r>
        <w:rPr>
          <w:rFonts w:ascii="楷体" w:hAnsi="楷体" w:eastAsia="楷体" w:cs="楷体"/>
          <w:b/>
          <w:i w:val="0"/>
          <w:caps w:val="0"/>
          <w:color w:val="000000"/>
          <w:spacing w:val="0"/>
          <w:sz w:val="32"/>
          <w:szCs w:val="32"/>
          <w:shd w:val="clear" w:fill="FFFFFF"/>
        </w:rPr>
        <w:t>加强组织领导。</w:t>
      </w:r>
      <w:r>
        <w:rPr>
          <w:rFonts w:ascii="仿宋" w:hAnsi="仿宋" w:eastAsia="仿宋" w:cs="仿宋"/>
          <w:i w:val="0"/>
          <w:caps w:val="0"/>
          <w:color w:val="000000"/>
          <w:spacing w:val="0"/>
          <w:sz w:val="32"/>
          <w:szCs w:val="32"/>
          <w:shd w:val="clear" w:fill="FFFFFF"/>
        </w:rPr>
        <w:t>为做好政府信息公开，成立了市财政局信息公开领导小组，领导小组下设办公室，主要负责政府信息公开工作中的组织协调和方案实施，牵头解决政府信息公开过程中遇到的难题和问题。明确机构、落实人员，形成总体联动的工作格局，做到分工明确，责任到人。</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 xml:space="preserve">   </w:t>
      </w:r>
      <w:r>
        <w:rPr>
          <w:rFonts w:hint="eastAsia" w:ascii="楷体" w:hAnsi="楷体" w:eastAsia="楷体" w:cs="楷体"/>
          <w:b/>
          <w:bCs/>
          <w:i w:val="0"/>
          <w:caps w:val="0"/>
          <w:color w:val="000000"/>
          <w:spacing w:val="0"/>
          <w:sz w:val="32"/>
          <w:szCs w:val="32"/>
          <w:shd w:val="clear" w:fill="FFFFFF"/>
          <w:lang w:val="en-US" w:eastAsia="zh-CN"/>
        </w:rPr>
        <w:t xml:space="preserve"> 3.</w:t>
      </w:r>
      <w:r>
        <w:rPr>
          <w:rFonts w:hint="eastAsia" w:ascii="楷体" w:hAnsi="楷体" w:eastAsia="楷体" w:cs="楷体"/>
          <w:b/>
          <w:bCs/>
          <w:i w:val="0"/>
          <w:caps w:val="0"/>
          <w:color w:val="000000"/>
          <w:spacing w:val="0"/>
          <w:sz w:val="32"/>
          <w:szCs w:val="32"/>
          <w:shd w:val="clear" w:fill="FFFFFF"/>
        </w:rPr>
        <w:t>抓好业务培训。</w:t>
      </w:r>
      <w:r>
        <w:rPr>
          <w:rFonts w:ascii="仿宋" w:hAnsi="仿宋" w:eastAsia="仿宋" w:cs="仿宋"/>
          <w:i w:val="0"/>
          <w:caps w:val="0"/>
          <w:color w:val="000000"/>
          <w:spacing w:val="0"/>
          <w:sz w:val="32"/>
          <w:szCs w:val="32"/>
          <w:shd w:val="clear" w:fill="FFFFFF"/>
        </w:rPr>
        <w:t>为切实加强政府信息公开工作</w:t>
      </w:r>
      <w:r>
        <w:rPr>
          <w:rFonts w:hint="eastAsia" w:ascii="仿宋" w:hAnsi="仿宋" w:eastAsia="仿宋" w:cs="仿宋"/>
          <w:i w:val="0"/>
          <w:caps w:val="0"/>
          <w:color w:val="000000"/>
          <w:spacing w:val="0"/>
          <w:sz w:val="32"/>
          <w:szCs w:val="32"/>
          <w:shd w:val="clear" w:fill="FFFFFF"/>
          <w:lang w:eastAsia="zh-CN"/>
        </w:rPr>
        <w:t>，市财政局</w:t>
      </w:r>
      <w:r>
        <w:rPr>
          <w:rFonts w:ascii="仿宋" w:hAnsi="仿宋" w:eastAsia="仿宋" w:cs="仿宋"/>
          <w:i w:val="0"/>
          <w:caps w:val="0"/>
          <w:color w:val="000000"/>
          <w:spacing w:val="0"/>
          <w:sz w:val="32"/>
          <w:szCs w:val="32"/>
          <w:shd w:val="clear" w:fill="FFFFFF"/>
        </w:rPr>
        <w:t>组织学习贯彻信息公开工作相关文件制度，提高业务水平</w:t>
      </w:r>
      <w:r>
        <w:rPr>
          <w:rFonts w:hint="eastAsia" w:ascii="仿宋" w:hAnsi="仿宋" w:eastAsia="仿宋" w:cs="仿宋"/>
          <w:i w:val="0"/>
          <w:caps w:val="0"/>
          <w:color w:val="000000"/>
          <w:spacing w:val="0"/>
          <w:sz w:val="32"/>
          <w:szCs w:val="32"/>
          <w:shd w:val="clear" w:fill="FFFFFF"/>
          <w:lang w:eastAsia="zh-CN"/>
        </w:rPr>
        <w:t>。积极组织全体干部职工</w:t>
      </w:r>
      <w:r>
        <w:rPr>
          <w:rFonts w:ascii="仿宋" w:hAnsi="仿宋" w:eastAsia="仿宋" w:cs="仿宋"/>
          <w:i w:val="0"/>
          <w:caps w:val="0"/>
          <w:color w:val="000000"/>
          <w:spacing w:val="0"/>
          <w:sz w:val="32"/>
          <w:szCs w:val="32"/>
          <w:shd w:val="clear" w:fill="FFFFFF"/>
        </w:rPr>
        <w:t>学习传达上级文件精神</w:t>
      </w:r>
      <w:r>
        <w:rPr>
          <w:rFonts w:hint="eastAsia" w:ascii="仿宋" w:hAnsi="仿宋" w:eastAsia="仿宋" w:cs="仿宋"/>
          <w:i w:val="0"/>
          <w:caps w:val="0"/>
          <w:color w:val="000000"/>
          <w:spacing w:val="0"/>
          <w:sz w:val="32"/>
          <w:szCs w:val="32"/>
          <w:shd w:val="clear" w:fill="FFFFFF"/>
          <w:lang w:eastAsia="zh-CN"/>
        </w:rPr>
        <w:t>，</w:t>
      </w:r>
      <w:r>
        <w:rPr>
          <w:rFonts w:ascii="仿宋" w:hAnsi="仿宋" w:eastAsia="仿宋" w:cs="仿宋"/>
          <w:i w:val="0"/>
          <w:caps w:val="0"/>
          <w:color w:val="000000"/>
          <w:spacing w:val="0"/>
          <w:sz w:val="32"/>
          <w:szCs w:val="32"/>
          <w:shd w:val="clear" w:fill="FFFFFF"/>
        </w:rPr>
        <w:t>规范信息公开工作程序和文书格式要求。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 xml:space="preserve">  </w:t>
      </w:r>
      <w:r>
        <w:rPr>
          <w:rFonts w:hint="eastAsia" w:ascii="楷体" w:hAnsi="楷体" w:eastAsia="楷体" w:cs="楷体"/>
          <w:b/>
          <w:bCs/>
          <w:i w:val="0"/>
          <w:caps w:val="0"/>
          <w:color w:val="000000"/>
          <w:spacing w:val="0"/>
          <w:sz w:val="32"/>
          <w:szCs w:val="32"/>
          <w:shd w:val="clear" w:fill="FFFFFF"/>
          <w:lang w:val="en-US" w:eastAsia="zh-CN"/>
        </w:rPr>
        <w:t xml:space="preserve">  4.</w:t>
      </w:r>
      <w:r>
        <w:rPr>
          <w:rFonts w:hint="eastAsia" w:ascii="楷体" w:hAnsi="楷体" w:eastAsia="楷体" w:cs="楷体"/>
          <w:b/>
          <w:bCs/>
          <w:i w:val="0"/>
          <w:caps w:val="0"/>
          <w:color w:val="000000"/>
          <w:spacing w:val="0"/>
          <w:sz w:val="32"/>
          <w:szCs w:val="32"/>
          <w:shd w:val="clear" w:fill="FFFFFF"/>
        </w:rPr>
        <w:t>落实日常工作。</w:t>
      </w:r>
      <w:r>
        <w:rPr>
          <w:rFonts w:ascii="仿宋" w:hAnsi="仿宋" w:eastAsia="仿宋" w:cs="仿宋"/>
          <w:i w:val="0"/>
          <w:caps w:val="0"/>
          <w:color w:val="000000"/>
          <w:spacing w:val="0"/>
          <w:sz w:val="32"/>
          <w:szCs w:val="32"/>
          <w:shd w:val="clear" w:fill="FFFFFF"/>
        </w:rPr>
        <w:t>以门户网站和微信公众号为主要载体，主动公开财经动态、财政法规、会计考试等。进一步深化政府信息公开的内容，将预算编制、决算信息</w:t>
      </w:r>
      <w:r>
        <w:rPr>
          <w:rFonts w:hint="eastAsia" w:ascii="仿宋" w:hAnsi="仿宋" w:eastAsia="仿宋" w:cs="仿宋"/>
          <w:i w:val="0"/>
          <w:caps w:val="0"/>
          <w:color w:val="000000"/>
          <w:spacing w:val="0"/>
          <w:sz w:val="32"/>
          <w:szCs w:val="32"/>
          <w:shd w:val="clear" w:fill="FFFFFF"/>
          <w:lang w:eastAsia="zh-CN"/>
        </w:rPr>
        <w:t>、</w:t>
      </w:r>
      <w:r>
        <w:rPr>
          <w:rFonts w:ascii="仿宋" w:hAnsi="仿宋" w:eastAsia="仿宋" w:cs="仿宋"/>
          <w:i w:val="0"/>
          <w:caps w:val="0"/>
          <w:color w:val="000000"/>
          <w:spacing w:val="0"/>
          <w:sz w:val="32"/>
          <w:szCs w:val="32"/>
          <w:shd w:val="clear" w:fill="FFFFFF"/>
        </w:rPr>
        <w:t>民生资金、专项资金绩效评价等社会公众普遍关心、涉及公共利益的重大数据一律公开，让社会公众有效实施监督，提高信息公开的针对性和有效性。</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jc w:val="both"/>
        <w:textAlignment w:val="auto"/>
        <w:rPr>
          <w:rFonts w:hint="eastAsia" w:ascii="仿宋_GB2312" w:hAnsi="仿宋_GB2312" w:eastAsia="仿宋" w:cs="仿宋_GB2312"/>
          <w:i w:val="0"/>
          <w:caps w:val="0"/>
          <w:color w:val="1B1B1B"/>
          <w:spacing w:val="0"/>
          <w:sz w:val="32"/>
          <w:szCs w:val="32"/>
          <w:u w:val="none"/>
          <w:shd w:val="clear" w:fill="FFFFFF"/>
          <w:lang w:val="en-US" w:eastAsia="zh-CN"/>
        </w:rPr>
      </w:pPr>
      <w:r>
        <w:rPr>
          <w:rFonts w:hint="eastAsia" w:ascii="楷体" w:hAnsi="楷体" w:eastAsia="楷体" w:cs="楷体"/>
          <w:b/>
          <w:bCs/>
          <w:i w:val="0"/>
          <w:caps w:val="0"/>
          <w:color w:val="1B1B1B"/>
          <w:spacing w:val="0"/>
          <w:sz w:val="32"/>
          <w:szCs w:val="32"/>
          <w:u w:val="none"/>
          <w:shd w:val="clear" w:fill="FFFFFF"/>
          <w:lang w:val="en-US" w:eastAsia="zh-CN"/>
        </w:rPr>
        <w:t>5.</w:t>
      </w:r>
      <w:r>
        <w:rPr>
          <w:rFonts w:hint="eastAsia" w:ascii="楷体" w:hAnsi="楷体" w:eastAsia="楷体" w:cs="楷体"/>
          <w:b/>
          <w:bCs/>
          <w:i w:val="0"/>
          <w:caps w:val="0"/>
          <w:color w:val="000000"/>
          <w:spacing w:val="0"/>
          <w:sz w:val="32"/>
          <w:szCs w:val="32"/>
          <w:shd w:val="clear" w:fill="FFFFFF"/>
        </w:rPr>
        <w:t>完善制度建设。</w:t>
      </w:r>
      <w:r>
        <w:rPr>
          <w:rFonts w:ascii="仿宋" w:hAnsi="仿宋" w:eastAsia="仿宋" w:cs="仿宋"/>
          <w:i w:val="0"/>
          <w:caps w:val="0"/>
          <w:color w:val="000000"/>
          <w:spacing w:val="0"/>
          <w:sz w:val="32"/>
          <w:szCs w:val="32"/>
          <w:shd w:val="clear" w:fill="FFFFFF"/>
        </w:rPr>
        <w:t>结合财政工作实际，修订完善了保密审查、主动公开、依申请公开、信息发布等一系列规章制度。在信息发布程序上，严格实行审查制度，健全信息公开运作机制。及时编制更新指南目录，对政府信息公开进行有效规范</w:t>
      </w:r>
      <w:r>
        <w:rPr>
          <w:rFonts w:hint="eastAsia" w:ascii="仿宋" w:hAnsi="仿宋" w:eastAsia="仿宋" w:cs="仿宋"/>
          <w:i w:val="0"/>
          <w:caps w:val="0"/>
          <w:color w:val="000000"/>
          <w:spacing w:val="0"/>
          <w:sz w:val="32"/>
          <w:szCs w:val="32"/>
          <w:shd w:val="clear" w:fill="FFFFFF"/>
          <w:lang w:eastAsia="zh-CN"/>
        </w:rPr>
        <w:t>。</w:t>
      </w:r>
    </w:p>
    <w:p>
      <w:pPr>
        <w:numPr>
          <w:ilvl w:val="0"/>
          <w:numId w:val="1"/>
        </w:numPr>
        <w:ind w:left="-10" w:leftChars="0" w:firstLine="640" w:firstLineChars="0"/>
        <w:jc w:val="both"/>
        <w:rPr>
          <w:rFonts w:hint="eastAsia" w:ascii="黑体" w:hAnsi="黑体" w:eastAsia="黑体" w:cs="黑体"/>
          <w:i w:val="0"/>
          <w:caps w:val="0"/>
          <w:color w:val="1B1B1B"/>
          <w:spacing w:val="0"/>
          <w:sz w:val="32"/>
          <w:szCs w:val="32"/>
          <w:u w:val="none"/>
          <w:shd w:val="clear" w:fill="FFFFFF"/>
          <w:lang w:val="en-US" w:eastAsia="zh-CN"/>
        </w:rPr>
      </w:pPr>
      <w:r>
        <w:rPr>
          <w:rFonts w:hint="eastAsia" w:ascii="黑体" w:hAnsi="黑体" w:eastAsia="黑体" w:cs="黑体"/>
          <w:i w:val="0"/>
          <w:caps w:val="0"/>
          <w:color w:val="1B1B1B"/>
          <w:spacing w:val="0"/>
          <w:sz w:val="32"/>
          <w:szCs w:val="32"/>
          <w:u w:val="none"/>
          <w:shd w:val="clear" w:fill="FFFFFF"/>
          <w:lang w:val="en-US" w:eastAsia="zh-CN"/>
        </w:rPr>
        <w:t>主动公开政府信息情况</w:t>
      </w:r>
    </w:p>
    <w:p>
      <w:pPr>
        <w:keepNext w:val="0"/>
        <w:keepLines w:val="0"/>
        <w:widowControl/>
        <w:suppressLineNumbers w:val="0"/>
        <w:jc w:val="left"/>
      </w:pPr>
    </w:p>
    <w:tbl>
      <w:tblPr>
        <w:tblStyle w:val="5"/>
        <w:tblW w:w="9735" w:type="dxa"/>
        <w:jc w:val="center"/>
        <w:tblInd w:w="0" w:type="dxa"/>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30"/>
        <w:gridCol w:w="2430"/>
        <w:gridCol w:w="2430"/>
        <w:gridCol w:w="2445"/>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themeColor="text1"/>
                <w14:textFill>
                  <w14:solidFill>
                    <w14:schemeClr w14:val="tx1"/>
                  </w14:solidFill>
                </w14:textFill>
              </w:rPr>
            </w:pPr>
            <w:r>
              <w:rPr>
                <w:rFonts w:hint="eastAsia" w:ascii="宋体" w:hAnsi="宋体" w:eastAsia="宋体" w:cs="宋体"/>
                <w:color w:val="000000" w:themeColor="text1"/>
                <w:sz w:val="19"/>
                <w:szCs w:val="19"/>
                <w14:textFill>
                  <w14:solidFill>
                    <w14:schemeClr w14:val="tx1"/>
                  </w14:solidFill>
                </w14:textFill>
              </w:rPr>
              <w:t>第二十条第（一）项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w:t>
            </w:r>
            <w:r>
              <w:rPr>
                <w:rFonts w:hint="eastAsia" w:ascii="宋体" w:hAnsi="宋体" w:eastAsia="宋体" w:cs="宋体"/>
                <w:sz w:val="19"/>
                <w:szCs w:val="19"/>
              </w:rPr>
              <w:t>制发件数</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本年废止件数</w:t>
            </w:r>
          </w:p>
        </w:tc>
        <w:tc>
          <w:tcPr>
            <w:tcW w:w="2445"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现行有效件</w:t>
            </w:r>
            <w:r>
              <w:rPr>
                <w:rFonts w:hint="eastAsia" w:ascii="宋体" w:hAnsi="宋体" w:eastAsia="宋体" w:cs="宋体"/>
                <w:sz w:val="19"/>
                <w:szCs w:val="19"/>
              </w:rPr>
              <w:t>数</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规章</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244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行政规范性文件</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244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第二十条第（五）项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行政许可</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13</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第二十条第（六）项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信息内容</w:t>
            </w:r>
          </w:p>
        </w:tc>
        <w:tc>
          <w:tcPr>
            <w:tcW w:w="7305" w:type="dxa"/>
            <w:gridSpan w:val="3"/>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行政处罚</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12</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行政强制</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第二十条第（八）项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730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本年收费金额（单位：万元）</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行政事业性收费</w:t>
            </w:r>
          </w:p>
        </w:tc>
        <w:tc>
          <w:tcPr>
            <w:tcW w:w="730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22.44</w:t>
            </w:r>
          </w:p>
        </w:tc>
      </w:tr>
    </w:tbl>
    <w:p>
      <w:pPr>
        <w:numPr>
          <w:ilvl w:val="0"/>
          <w:numId w:val="0"/>
        </w:numPr>
        <w:jc w:val="both"/>
        <w:rPr>
          <w:rFonts w:hint="eastAsia" w:ascii="黑体" w:hAnsi="黑体" w:eastAsia="黑体" w:cs="黑体"/>
          <w:i w:val="0"/>
          <w:caps w:val="0"/>
          <w:color w:val="1B1B1B"/>
          <w:spacing w:val="0"/>
          <w:sz w:val="32"/>
          <w:szCs w:val="32"/>
          <w:u w:val="none"/>
          <w:shd w:val="clear" w:fill="FFFFFF"/>
          <w:lang w:val="en-US" w:eastAsia="zh-CN"/>
        </w:rPr>
      </w:pPr>
    </w:p>
    <w:p>
      <w:pPr>
        <w:numPr>
          <w:ilvl w:val="0"/>
          <w:numId w:val="1"/>
        </w:numPr>
        <w:ind w:left="-10" w:leftChars="0" w:firstLine="640" w:firstLineChars="0"/>
        <w:jc w:val="both"/>
        <w:rPr>
          <w:rFonts w:hint="eastAsia" w:ascii="黑体" w:hAnsi="黑体" w:eastAsia="黑体" w:cs="黑体"/>
          <w:i w:val="0"/>
          <w:caps w:val="0"/>
          <w:color w:val="1B1B1B"/>
          <w:spacing w:val="0"/>
          <w:sz w:val="32"/>
          <w:szCs w:val="32"/>
          <w:u w:val="none"/>
          <w:shd w:val="clear" w:fill="FFFFFF"/>
          <w:lang w:val="en-US" w:eastAsia="zh-CN"/>
        </w:rPr>
      </w:pPr>
      <w:r>
        <w:rPr>
          <w:rFonts w:hint="eastAsia" w:ascii="黑体" w:hAnsi="黑体" w:eastAsia="黑体" w:cs="黑体"/>
          <w:i w:val="0"/>
          <w:caps w:val="0"/>
          <w:color w:val="1B1B1B"/>
          <w:spacing w:val="0"/>
          <w:sz w:val="32"/>
          <w:szCs w:val="32"/>
          <w:u w:val="none"/>
          <w:shd w:val="clear" w:fill="FFFFFF"/>
          <w:lang w:val="en-US" w:eastAsia="zh-CN"/>
        </w:rPr>
        <w:t>收到和处理政府信息公开申请情况</w:t>
      </w:r>
    </w:p>
    <w:p>
      <w:pPr>
        <w:keepNext w:val="0"/>
        <w:keepLines w:val="0"/>
        <w:widowControl/>
        <w:suppressLineNumbers w:val="0"/>
        <w:jc w:val="left"/>
      </w:pPr>
    </w:p>
    <w:tbl>
      <w:tblPr>
        <w:tblStyle w:val="5"/>
        <w:tblW w:w="9750" w:type="dxa"/>
        <w:jc w:val="center"/>
        <w:tblInd w:w="0" w:type="dxa"/>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60"/>
        <w:gridCol w:w="941"/>
        <w:gridCol w:w="3205"/>
        <w:gridCol w:w="692"/>
        <w:gridCol w:w="692"/>
        <w:gridCol w:w="692"/>
        <w:gridCol w:w="692"/>
        <w:gridCol w:w="692"/>
        <w:gridCol w:w="692"/>
        <w:gridCol w:w="692"/>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jc w:val="center"/>
        </w:trPr>
        <w:tc>
          <w:tcPr>
            <w:tcW w:w="4906" w:type="dxa"/>
            <w:gridSpan w:val="3"/>
            <w:vMerge w:val="restart"/>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楷体" w:hAnsi="楷体" w:eastAsia="楷体" w:cs="楷体"/>
                <w:sz w:val="19"/>
                <w:szCs w:val="19"/>
              </w:rPr>
              <w:t>（本列数据的勾稽关系为：第一项加第二项之和，等于第三项加第四项之和）</w:t>
            </w:r>
          </w:p>
        </w:tc>
        <w:tc>
          <w:tcPr>
            <w:tcW w:w="4844" w:type="dxa"/>
            <w:gridSpan w:val="7"/>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申请人情况</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92" w:type="dxa"/>
            <w:vMerge w:val="restart"/>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自然人</w:t>
            </w:r>
          </w:p>
        </w:tc>
        <w:tc>
          <w:tcPr>
            <w:tcW w:w="3460" w:type="dxa"/>
            <w:gridSpan w:val="5"/>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法人或其他组织</w:t>
            </w:r>
          </w:p>
        </w:tc>
        <w:tc>
          <w:tcPr>
            <w:tcW w:w="692" w:type="dxa"/>
            <w:vMerge w:val="restart"/>
            <w:tcBorders>
              <w:top w:val="single"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92" w:type="dxa"/>
            <w:vMerge w:val="continue"/>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商业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企业</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科研</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机构</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社会公益组织</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法律服务机构</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其他</w:t>
            </w:r>
          </w:p>
        </w:tc>
        <w:tc>
          <w:tcPr>
            <w:tcW w:w="692" w:type="dxa"/>
            <w:vMerge w:val="continue"/>
            <w:tcBorders>
              <w:top w:val="single"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一、本年新收政府信息公开申请数量</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2</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2</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二、上年结转政府信息公开申请数量</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restart"/>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三、本年度办理结果</w:t>
            </w:r>
          </w:p>
        </w:tc>
        <w:tc>
          <w:tcPr>
            <w:tcW w:w="4146"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（一）予以公开</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2</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2</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4146"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（二）部分公开</w:t>
            </w:r>
            <w:r>
              <w:rPr>
                <w:rFonts w:hint="eastAsia" w:ascii="楷体" w:hAnsi="楷体" w:eastAsia="楷体" w:cs="楷体"/>
                <w:sz w:val="19"/>
                <w:szCs w:val="19"/>
              </w:rPr>
              <w:t>（区分处理的，只计这一情形，不计其他情形）</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（三）不予公开</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1.属于国家秘密</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2.其他法律行政法规禁止公开</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3.危及“三安全一稳定”</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4.保护第三方合法权益</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5.属于三类内部事务信息</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6.属于四类过程性信息</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7.属于行政执法案卷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8.属于行政查询事项</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（四）无法提供</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1.本机关不掌握相关政府信息</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2.没有现成信息需要另行制作</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3.补正后申请内容仍不明确</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（五）不予处理</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1.信访举报投诉类申请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2.重复申请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3.要求提供公开出版物</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4.无正当理由大量反复申请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780" w:hRule="atLeast"/>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sz w:val="19"/>
                <w:szCs w:val="19"/>
              </w:rPr>
              <w:t>5.要求行政机关确认或重新出具已获取信息</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restart"/>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（六）其他处理</w:t>
            </w: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宋体"/>
                <w:lang w:val="en-US" w:eastAsia="zh-CN"/>
              </w:rPr>
            </w:pPr>
            <w:r>
              <w:rPr>
                <w:rFonts w:hint="eastAsia" w:ascii="宋体" w:hAnsi="宋体" w:eastAsia="宋体" w:cs="宋体"/>
                <w:sz w:val="19"/>
                <w:szCs w:val="19"/>
              </w:rPr>
              <w:t>1.申请人无正当理由逾期不补正、行政机关不再处理其政府信息公开申请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19"/>
                <w:szCs w:val="19"/>
              </w:rPr>
              <w:t>2.申请人逾期未按收费通知要求缴纳费用、行政机关不再处理其政府信息公开申请</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41" w:type="dxa"/>
            <w:vMerge w:val="continue"/>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2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3.其他</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4146"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（七）总计</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2</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2</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四、结转下年度继续办理</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default"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92"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bl>
    <w:p>
      <w:pPr>
        <w:numPr>
          <w:ilvl w:val="0"/>
          <w:numId w:val="0"/>
        </w:numPr>
        <w:ind w:firstLine="640" w:firstLineChars="200"/>
        <w:jc w:val="both"/>
        <w:rPr>
          <w:rFonts w:hint="eastAsia" w:ascii="黑体" w:hAnsi="黑体" w:eastAsia="黑体" w:cs="黑体"/>
          <w:i w:val="0"/>
          <w:caps w:val="0"/>
          <w:color w:val="1B1B1B"/>
          <w:spacing w:val="0"/>
          <w:sz w:val="32"/>
          <w:szCs w:val="32"/>
          <w:u w:val="none"/>
          <w:shd w:val="clear" w:fill="FFFFFF"/>
          <w:lang w:val="en-US" w:eastAsia="zh-CN"/>
        </w:rPr>
      </w:pPr>
      <w:r>
        <w:rPr>
          <w:rFonts w:hint="eastAsia" w:ascii="黑体" w:hAnsi="黑体" w:eastAsia="黑体" w:cs="黑体"/>
          <w:i w:val="0"/>
          <w:caps w:val="0"/>
          <w:color w:val="1B1B1B"/>
          <w:spacing w:val="0"/>
          <w:sz w:val="32"/>
          <w:szCs w:val="32"/>
          <w:u w:val="none"/>
          <w:shd w:val="clear" w:fill="FFFFFF"/>
          <w:lang w:val="en-US" w:eastAsia="zh-CN"/>
        </w:rPr>
        <w:t>四、政府信息公开行政复议、行政诉讼情况</w:t>
      </w:r>
    </w:p>
    <w:tbl>
      <w:tblPr>
        <w:tblStyle w:val="5"/>
        <w:tblW w:w="9750" w:type="dxa"/>
        <w:jc w:val="center"/>
        <w:tblInd w:w="0" w:type="dxa"/>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50"/>
        <w:gridCol w:w="650"/>
        <w:gridCol w:w="650"/>
        <w:gridCol w:w="650"/>
        <w:gridCol w:w="650"/>
        <w:gridCol w:w="650"/>
        <w:gridCol w:w="650"/>
        <w:gridCol w:w="650"/>
        <w:gridCol w:w="650"/>
        <w:gridCol w:w="650"/>
        <w:gridCol w:w="650"/>
        <w:gridCol w:w="650"/>
        <w:gridCol w:w="650"/>
        <w:gridCol w:w="650"/>
        <w:gridCol w:w="650"/>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jc w:val="center"/>
        </w:trPr>
        <w:tc>
          <w:tcPr>
            <w:tcW w:w="3250"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jc w:val="both"/>
            </w:pPr>
            <w:r>
              <w:rPr>
                <w:rFonts w:hint="eastAsia" w:ascii="黑体" w:hAnsi="黑体" w:eastAsia="黑体" w:cs="黑体"/>
                <w:i w:val="0"/>
                <w:caps w:val="0"/>
                <w:color w:val="1B1B1B"/>
                <w:spacing w:val="0"/>
                <w:sz w:val="32"/>
                <w:szCs w:val="32"/>
                <w:u w:val="none"/>
                <w:shd w:val="clear" w:fill="FFFFFF"/>
                <w:lang w:val="en-US" w:eastAsia="zh-CN"/>
              </w:rPr>
              <w:t xml:space="preserve">  </w:t>
            </w:r>
            <w:r>
              <w:rPr>
                <w:rFonts w:hint="eastAsia" w:ascii="宋体" w:hAnsi="宋体" w:eastAsia="宋体" w:cs="宋体"/>
                <w:sz w:val="19"/>
                <w:szCs w:val="19"/>
              </w:rPr>
              <w:t>行政复议</w:t>
            </w:r>
          </w:p>
        </w:tc>
        <w:tc>
          <w:tcPr>
            <w:tcW w:w="6500" w:type="dxa"/>
            <w:gridSpan w:val="10"/>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行政诉讼</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50" w:type="dxa"/>
            <w:vMerge w:val="restar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结果维持</w:t>
            </w:r>
          </w:p>
        </w:tc>
        <w:tc>
          <w:tcPr>
            <w:tcW w:w="650" w:type="dxa"/>
            <w:vMerge w:val="restar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w:t>
            </w:r>
            <w:r>
              <w:rPr>
                <w:sz w:val="19"/>
                <w:szCs w:val="19"/>
              </w:rPr>
              <w:br w:type="textWrapping"/>
            </w:r>
            <w:r>
              <w:rPr>
                <w:rFonts w:hint="eastAsia" w:ascii="宋体" w:hAnsi="宋体" w:eastAsia="宋体" w:cs="宋体"/>
                <w:sz w:val="19"/>
                <w:szCs w:val="19"/>
              </w:rPr>
              <w:t>纠正</w:t>
            </w:r>
          </w:p>
        </w:tc>
        <w:tc>
          <w:tcPr>
            <w:tcW w:w="650" w:type="dxa"/>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其他</w:t>
            </w:r>
            <w:r>
              <w:rPr>
                <w:sz w:val="19"/>
                <w:szCs w:val="19"/>
              </w:rPr>
              <w:br w:type="textWrapping"/>
            </w:r>
            <w:r>
              <w:rPr>
                <w:rFonts w:hint="eastAsia" w:ascii="宋体" w:hAnsi="宋体" w:eastAsia="宋体" w:cs="宋体"/>
                <w:sz w:val="19"/>
                <w:szCs w:val="19"/>
              </w:rPr>
              <w:t>结果</w:t>
            </w:r>
          </w:p>
        </w:tc>
        <w:tc>
          <w:tcPr>
            <w:tcW w:w="650" w:type="dxa"/>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尚未</w:t>
            </w:r>
            <w:r>
              <w:rPr>
                <w:sz w:val="19"/>
                <w:szCs w:val="19"/>
              </w:rPr>
              <w:br w:type="textWrapping"/>
            </w:r>
            <w:r>
              <w:rPr>
                <w:rFonts w:hint="eastAsia" w:ascii="宋体" w:hAnsi="宋体" w:eastAsia="宋体" w:cs="宋体"/>
                <w:sz w:val="19"/>
                <w:szCs w:val="19"/>
              </w:rPr>
              <w:t>审结</w:t>
            </w:r>
          </w:p>
        </w:tc>
        <w:tc>
          <w:tcPr>
            <w:tcW w:w="650" w:type="dxa"/>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总计</w:t>
            </w:r>
          </w:p>
        </w:tc>
        <w:tc>
          <w:tcPr>
            <w:tcW w:w="3250"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未经复议直接起诉</w:t>
            </w:r>
          </w:p>
        </w:tc>
        <w:tc>
          <w:tcPr>
            <w:tcW w:w="3250"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复议后起诉</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50" w:type="dxa"/>
            <w:vMerge w:val="continue"/>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50" w:type="dxa"/>
            <w:vMerge w:val="continue"/>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50" w:type="dxa"/>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50" w:type="dxa"/>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50" w:type="dxa"/>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w:t>
            </w:r>
            <w:r>
              <w:rPr>
                <w:sz w:val="19"/>
                <w:szCs w:val="19"/>
              </w:rPr>
              <w:br w:type="textWrapping"/>
            </w:r>
            <w:r>
              <w:rPr>
                <w:rFonts w:hint="eastAsia" w:ascii="宋体" w:hAnsi="宋体" w:eastAsia="宋体" w:cs="宋体"/>
                <w:sz w:val="19"/>
                <w:szCs w:val="19"/>
              </w:rPr>
              <w:t>维持</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w:t>
            </w:r>
            <w:r>
              <w:rPr>
                <w:sz w:val="19"/>
                <w:szCs w:val="19"/>
              </w:rPr>
              <w:br w:type="textWrapping"/>
            </w:r>
            <w:r>
              <w:rPr>
                <w:rFonts w:hint="eastAsia" w:ascii="宋体" w:hAnsi="宋体" w:eastAsia="宋体" w:cs="宋体"/>
                <w:sz w:val="19"/>
                <w:szCs w:val="19"/>
              </w:rPr>
              <w:t>纠正</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其他</w:t>
            </w:r>
            <w:r>
              <w:rPr>
                <w:sz w:val="19"/>
                <w:szCs w:val="19"/>
              </w:rPr>
              <w:br w:type="textWrapping"/>
            </w:r>
            <w:r>
              <w:rPr>
                <w:rFonts w:hint="eastAsia" w:ascii="宋体" w:hAnsi="宋体" w:eastAsia="宋体" w:cs="宋体"/>
                <w:sz w:val="19"/>
                <w:szCs w:val="19"/>
              </w:rPr>
              <w:t>结果</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尚未</w:t>
            </w:r>
            <w:r>
              <w:rPr>
                <w:sz w:val="19"/>
                <w:szCs w:val="19"/>
              </w:rPr>
              <w:br w:type="textWrapping"/>
            </w:r>
            <w:r>
              <w:rPr>
                <w:rFonts w:hint="eastAsia" w:ascii="宋体" w:hAnsi="宋体" w:eastAsia="宋体" w:cs="宋体"/>
                <w:sz w:val="19"/>
                <w:szCs w:val="19"/>
              </w:rPr>
              <w:t>审结</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总计</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w:t>
            </w:r>
            <w:r>
              <w:rPr>
                <w:sz w:val="19"/>
                <w:szCs w:val="19"/>
              </w:rPr>
              <w:br w:type="textWrapping"/>
            </w:r>
            <w:r>
              <w:rPr>
                <w:rFonts w:hint="eastAsia" w:ascii="宋体" w:hAnsi="宋体" w:eastAsia="宋体" w:cs="宋体"/>
                <w:sz w:val="19"/>
                <w:szCs w:val="19"/>
              </w:rPr>
              <w:t>维持</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结果</w:t>
            </w:r>
            <w:r>
              <w:rPr>
                <w:sz w:val="19"/>
                <w:szCs w:val="19"/>
              </w:rPr>
              <w:br w:type="textWrapping"/>
            </w:r>
            <w:r>
              <w:rPr>
                <w:rFonts w:hint="eastAsia" w:ascii="宋体" w:hAnsi="宋体" w:eastAsia="宋体" w:cs="宋体"/>
                <w:sz w:val="19"/>
                <w:szCs w:val="19"/>
              </w:rPr>
              <w:t>纠正</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其他</w:t>
            </w:r>
            <w:r>
              <w:rPr>
                <w:color w:val="000000"/>
                <w:sz w:val="19"/>
                <w:szCs w:val="19"/>
              </w:rPr>
              <w:br w:type="textWrapping"/>
            </w:r>
            <w:r>
              <w:rPr>
                <w:rFonts w:hint="eastAsia" w:ascii="宋体" w:hAnsi="宋体" w:eastAsia="宋体" w:cs="宋体"/>
                <w:color w:val="000000"/>
                <w:sz w:val="19"/>
                <w:szCs w:val="19"/>
              </w:rPr>
              <w:t>结果</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sz w:val="19"/>
                <w:szCs w:val="19"/>
              </w:rPr>
              <w:t>尚未</w:t>
            </w:r>
            <w:r>
              <w:rPr>
                <w:sz w:val="19"/>
                <w:szCs w:val="19"/>
              </w:rPr>
              <w:br w:type="textWrapping"/>
            </w:r>
            <w:r>
              <w:rPr>
                <w:rFonts w:hint="eastAsia" w:ascii="宋体" w:hAnsi="宋体" w:eastAsia="宋体" w:cs="宋体"/>
                <w:sz w:val="19"/>
                <w:szCs w:val="19"/>
              </w:rPr>
              <w:t>审结</w:t>
            </w:r>
          </w:p>
        </w:tc>
        <w:tc>
          <w:tcPr>
            <w:tcW w:w="65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Layout w:type="fixed"/>
          <w:tblCellMar>
            <w:top w:w="0" w:type="dxa"/>
            <w:left w:w="0" w:type="dxa"/>
            <w:bottom w:w="0" w:type="dxa"/>
            <w:right w:w="0" w:type="dxa"/>
          </w:tblCellMar>
        </w:tblPrEx>
        <w:trPr>
          <w:trHeight w:val="675" w:hRule="atLeast"/>
          <w:jc w:val="center"/>
        </w:trPr>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c>
          <w:tcPr>
            <w:tcW w:w="650"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eastAsia" w:eastAsiaTheme="minorEastAsia"/>
                <w:lang w:val="en-US" w:eastAsia="zh-CN"/>
              </w:rPr>
            </w:pPr>
            <w:r>
              <w:rPr>
                <w:rFonts w:hint="eastAsia"/>
                <w:lang w:val="en-US" w:eastAsia="zh-CN"/>
              </w:rPr>
              <w:t>0</w:t>
            </w:r>
          </w:p>
        </w:tc>
      </w:tr>
    </w:tbl>
    <w:p>
      <w:pPr>
        <w:numPr>
          <w:ilvl w:val="0"/>
          <w:numId w:val="0"/>
        </w:numPr>
        <w:ind w:left="630" w:leftChars="0"/>
        <w:jc w:val="both"/>
        <w:rPr>
          <w:rFonts w:hint="eastAsia" w:ascii="黑体" w:hAnsi="黑体" w:eastAsia="黑体" w:cs="黑体"/>
          <w:i w:val="0"/>
          <w:caps w:val="0"/>
          <w:color w:val="1B1B1B"/>
          <w:spacing w:val="0"/>
          <w:sz w:val="32"/>
          <w:szCs w:val="32"/>
          <w:u w:val="none"/>
          <w:shd w:val="clear" w:fill="FFFFFF"/>
          <w:lang w:val="en-US" w:eastAsia="zh-CN"/>
        </w:rPr>
      </w:pPr>
      <w:r>
        <w:rPr>
          <w:rFonts w:hint="eastAsia" w:ascii="黑体" w:hAnsi="黑体" w:eastAsia="黑体" w:cs="黑体"/>
          <w:i w:val="0"/>
          <w:caps w:val="0"/>
          <w:color w:val="1B1B1B"/>
          <w:spacing w:val="0"/>
          <w:sz w:val="32"/>
          <w:szCs w:val="32"/>
          <w:u w:val="none"/>
          <w:shd w:val="clear" w:fill="FFFFFF"/>
          <w:lang w:val="en-US" w:eastAsia="zh-CN"/>
        </w:rPr>
        <w:t>五、存在的主要问题及改进情况</w:t>
      </w:r>
    </w:p>
    <w:p>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2B2B2B"/>
          <w:spacing w:val="0"/>
          <w:kern w:val="2"/>
          <w:sz w:val="32"/>
          <w:szCs w:val="32"/>
          <w:lang w:val="en-US" w:eastAsia="zh-CN" w:bidi="ar-SA"/>
        </w:rPr>
        <w:t>2021年市财政局在政务公开工作取得了一定成效，但仍存在一些不足，如财政政策解读形式不够丰富</w:t>
      </w:r>
      <w:r>
        <w:rPr>
          <w:rFonts w:hint="eastAsia" w:ascii="仿宋_GB2312" w:hAnsi="仿宋_GB2312" w:eastAsia="仿宋_GB2312" w:cs="仿宋_GB2312"/>
          <w:sz w:val="32"/>
          <w:szCs w:val="32"/>
          <w:lang w:val="en-US" w:eastAsia="zh-CN"/>
        </w:rPr>
        <w:t>多样等。</w:t>
      </w:r>
      <w:r>
        <w:rPr>
          <w:rFonts w:hint="eastAsia" w:ascii="仿宋_GB2312" w:hAnsi="仿宋_GB2312" w:eastAsia="仿宋_GB2312" w:cs="仿宋_GB2312"/>
          <w:color w:val="424242"/>
          <w:sz w:val="32"/>
          <w:szCs w:val="32"/>
          <w:shd w:val="clear" w:fill="FFFFFF"/>
        </w:rPr>
        <w:t>下</w:t>
      </w:r>
      <w:r>
        <w:rPr>
          <w:rFonts w:hint="eastAsia" w:ascii="仿宋_GB2312" w:hAnsi="仿宋_GB2312" w:eastAsia="仿宋_GB2312" w:cs="仿宋_GB2312"/>
          <w:i w:val="0"/>
          <w:caps w:val="0"/>
          <w:color w:val="2B2B2B"/>
          <w:spacing w:val="0"/>
          <w:kern w:val="2"/>
          <w:sz w:val="32"/>
          <w:szCs w:val="32"/>
          <w:lang w:val="en-US" w:eastAsia="zh-CN" w:bidi="ar-SA"/>
        </w:rPr>
        <w:t>一阶段，市财政局将采取措施改进政策解读方式，</w:t>
      </w:r>
      <w:r>
        <w:rPr>
          <w:rFonts w:hint="eastAsia" w:ascii="仿宋_GB2312" w:hAnsi="仿宋_GB2312" w:eastAsia="仿宋_GB2312" w:cs="仿宋_GB2312"/>
          <w:sz w:val="32"/>
          <w:szCs w:val="32"/>
          <w:lang w:val="en-US" w:eastAsia="zh-CN"/>
        </w:rPr>
        <w:t>进一步创新和扩宽政策解答的方式及形式，按照“谁制定，谁解读”原则，做好政府门户网站、政务新媒体等各类渠道发布工作，针对渠道特点，通过一图解读、动漫视频、简明读本、权威发布等形式，更多发布准确权威、简洁易懂、方便传播的解读方式，切实提高财政政策解读回应实效。</w:t>
      </w:r>
    </w:p>
    <w:p>
      <w:pPr>
        <w:bidi w:val="0"/>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六、其他需要报告的事项</w:t>
      </w:r>
    </w:p>
    <w:p>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无。</w:t>
      </w:r>
    </w:p>
    <w:sectPr>
      <w:footerReference r:id="rId3" w:type="default"/>
      <w:pgSz w:w="11906" w:h="16838"/>
      <w:pgMar w:top="0" w:right="1803" w:bottom="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15CF63"/>
    <w:multiLevelType w:val="singleLevel"/>
    <w:tmpl w:val="3115CF63"/>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C706A1"/>
    <w:rsid w:val="0F785AF6"/>
    <w:rsid w:val="11B53FE6"/>
    <w:rsid w:val="161F2B25"/>
    <w:rsid w:val="19063900"/>
    <w:rsid w:val="19280AAE"/>
    <w:rsid w:val="295664AC"/>
    <w:rsid w:val="31F55F02"/>
    <w:rsid w:val="3248539C"/>
    <w:rsid w:val="356826D0"/>
    <w:rsid w:val="36BA69D6"/>
    <w:rsid w:val="37196D47"/>
    <w:rsid w:val="38270667"/>
    <w:rsid w:val="4AF66A4D"/>
    <w:rsid w:val="4B1E1852"/>
    <w:rsid w:val="4D3220FD"/>
    <w:rsid w:val="4E634F62"/>
    <w:rsid w:val="548B1E36"/>
    <w:rsid w:val="57645597"/>
    <w:rsid w:val="59115428"/>
    <w:rsid w:val="5CEB66BA"/>
    <w:rsid w:val="5F3F3B7B"/>
    <w:rsid w:val="61B22C9D"/>
    <w:rsid w:val="62251FF9"/>
    <w:rsid w:val="636A7B3A"/>
    <w:rsid w:val="64D53B7C"/>
    <w:rsid w:val="674B4F1B"/>
    <w:rsid w:val="6946481F"/>
    <w:rsid w:val="7218404E"/>
    <w:rsid w:val="7DA42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8">
    <w:name w:val="FollowedHyperlink"/>
    <w:basedOn w:val="7"/>
    <w:qFormat/>
    <w:uiPriority w:val="0"/>
    <w:rPr>
      <w:color w:val="333333"/>
      <w:u w:val="none"/>
    </w:rPr>
  </w:style>
  <w:style w:type="character" w:styleId="9">
    <w:name w:val="Hyperlink"/>
    <w:basedOn w:val="7"/>
    <w:qFormat/>
    <w:uiPriority w:val="0"/>
    <w:rPr>
      <w:color w:val="0000FF"/>
      <w:u w:val="single"/>
    </w:rPr>
  </w:style>
  <w:style w:type="character" w:styleId="10">
    <w:name w:val="HTML Code"/>
    <w:basedOn w:val="7"/>
    <w:qFormat/>
    <w:uiPriority w:val="0"/>
    <w:rPr>
      <w:rFonts w:ascii="Courier New" w:hAnsi="Courier New"/>
      <w:sz w:val="20"/>
    </w:rPr>
  </w:style>
  <w:style w:type="character" w:customStyle="1" w:styleId="11">
    <w:name w:val="hover"/>
    <w:basedOn w:val="7"/>
    <w:qFormat/>
    <w:uiPriority w:val="0"/>
    <w:rPr>
      <w:color w:val="2F6EA2"/>
    </w:rPr>
  </w:style>
  <w:style w:type="character" w:customStyle="1" w:styleId="12">
    <w:name w:val="calendar-head__next-year-btn"/>
    <w:basedOn w:val="7"/>
    <w:qFormat/>
    <w:uiPriority w:val="0"/>
  </w:style>
  <w:style w:type="character" w:customStyle="1" w:styleId="13">
    <w:name w:val="active"/>
    <w:basedOn w:val="7"/>
    <w:qFormat/>
    <w:uiPriority w:val="0"/>
    <w:rPr>
      <w:color w:val="333333"/>
    </w:rPr>
  </w:style>
  <w:style w:type="character" w:customStyle="1" w:styleId="14">
    <w:name w:val="calendar-head__next-range-btn"/>
    <w:basedOn w:val="7"/>
    <w:qFormat/>
    <w:uiPriority w:val="0"/>
    <w:rPr>
      <w:vanish/>
    </w:rPr>
  </w:style>
  <w:style w:type="character" w:customStyle="1" w:styleId="15">
    <w:name w:val="calendar-head__year-range"/>
    <w:basedOn w:val="7"/>
    <w:qFormat/>
    <w:uiPriority w:val="0"/>
    <w:rPr>
      <w:vanish/>
    </w:rPr>
  </w:style>
  <w:style w:type="character" w:customStyle="1" w:styleId="16">
    <w:name w:val="calendar-head__prev-range-btn"/>
    <w:basedOn w:val="7"/>
    <w:qFormat/>
    <w:uiPriority w:val="0"/>
    <w:rPr>
      <w:vanish/>
    </w:rPr>
  </w:style>
  <w:style w:type="character" w:customStyle="1" w:styleId="17">
    <w:name w:val="calendar-head__text-display"/>
    <w:basedOn w:val="7"/>
    <w:qFormat/>
    <w:uiPriority w:val="0"/>
    <w:rPr>
      <w:vanish/>
    </w:rPr>
  </w:style>
  <w:style w:type="character" w:customStyle="1" w:styleId="18">
    <w:name w:val="calendar-head__next-month-btn"/>
    <w:basedOn w:val="7"/>
    <w:qFormat/>
    <w:uiPriority w:val="0"/>
  </w:style>
  <w:style w:type="character" w:customStyle="1" w:styleId="19">
    <w:name w:val="active2"/>
    <w:basedOn w:val="7"/>
    <w:qFormat/>
    <w:uiPriority w:val="0"/>
    <w:rPr>
      <w:color w:val="333333"/>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1887</Words>
  <Characters>1961</Characters>
  <Lines>0</Lines>
  <Paragraphs>0</Paragraphs>
  <TotalTime>80</TotalTime>
  <ScaleCrop>false</ScaleCrop>
  <LinksUpToDate>false</LinksUpToDate>
  <CharactersWithSpaces>1976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2021-12-28T00:33:00Z</dcterms:created>
  <dc:creator>Administrator</dc:creator>
  <cp:lastModifiedBy>赵界昆</cp:lastModifiedBy>
  <cp:lastPrinted>2022-01-25T01:22:00Z</cp:lastPrinted>
  <dcterms:modified xsi:type="dcterms:W3CDTF">2022-01-27T08:55:40Z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