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100" w:beforeAutospacing="1" w:after="100" w:afterAutospacing="1" w:line="432" w:lineRule="atLeast"/>
        <w:ind w:left="0" w:right="0"/>
        <w:jc w:val="center"/>
        <w:rPr>
          <w:rFonts w:hint="eastAsia" w:ascii="宋体" w:hAnsi="宋体" w:eastAsia="宋体" w:cs="宋体"/>
          <w:b/>
          <w:bCs/>
          <w:kern w:val="0"/>
          <w:sz w:val="44"/>
          <w:szCs w:val="44"/>
          <w:shd w:val="clear" w:color="auto" w:fill="FFFFFF"/>
          <w:lang w:val="en-US" w:eastAsia="zh-CN" w:bidi="ar"/>
        </w:rPr>
      </w:pPr>
      <w:r>
        <w:rPr>
          <w:rFonts w:hint="eastAsia" w:ascii="宋体" w:hAnsi="宋体" w:eastAsia="宋体" w:cs="宋体"/>
          <w:b/>
          <w:bCs/>
          <w:kern w:val="0"/>
          <w:sz w:val="44"/>
          <w:szCs w:val="44"/>
          <w:shd w:val="clear" w:color="auto" w:fill="FFFFFF"/>
          <w:lang w:val="en-US" w:eastAsia="zh-CN" w:bidi="ar"/>
        </w:rPr>
        <w:t>牡丹江市营商环境建设监督局20</w:t>
      </w:r>
      <w:r>
        <w:rPr>
          <w:rFonts w:hint="eastAsia" w:ascii="宋体" w:hAnsi="宋体" w:cs="宋体"/>
          <w:b/>
          <w:bCs/>
          <w:kern w:val="0"/>
          <w:sz w:val="44"/>
          <w:szCs w:val="44"/>
          <w:shd w:val="clear" w:color="auto" w:fill="FFFFFF"/>
          <w:lang w:val="en-US" w:eastAsia="zh-CN" w:bidi="ar"/>
        </w:rPr>
        <w:t>21</w:t>
      </w:r>
      <w:r>
        <w:rPr>
          <w:rFonts w:hint="eastAsia" w:ascii="宋体" w:hAnsi="宋体" w:eastAsia="宋体" w:cs="宋体"/>
          <w:b/>
          <w:bCs/>
          <w:kern w:val="0"/>
          <w:sz w:val="44"/>
          <w:szCs w:val="44"/>
          <w:shd w:val="clear" w:color="auto" w:fill="FFFFFF"/>
          <w:lang w:val="en-US" w:eastAsia="zh-CN" w:bidi="ar"/>
        </w:rPr>
        <w:t>年政府信息公开工作年度报告</w:t>
      </w:r>
    </w:p>
    <w:p>
      <w:pPr>
        <w:keepNext w:val="0"/>
        <w:keepLines w:val="0"/>
        <w:widowControl/>
        <w:suppressLineNumbers w:val="0"/>
        <w:spacing w:before="100" w:beforeAutospacing="1" w:after="100" w:afterAutospacing="1" w:line="432" w:lineRule="atLeast"/>
        <w:ind w:left="0" w:right="0"/>
        <w:jc w:val="center"/>
        <w:rPr>
          <w:rFonts w:hint="default" w:ascii="仿宋" w:hAnsi="仿宋" w:eastAsia="仿宋" w:cs="仿宋"/>
          <w:b w:val="0"/>
          <w:bCs w:val="0"/>
          <w:kern w:val="0"/>
          <w:sz w:val="32"/>
          <w:szCs w:val="32"/>
          <w:shd w:val="clear" w:color="auto" w:fill="FFFFFF"/>
          <w:lang w:val="en-US" w:eastAsia="zh-CN" w:bidi="ar"/>
        </w:rPr>
      </w:pPr>
      <w:r>
        <w:rPr>
          <w:rFonts w:hint="eastAsia" w:ascii="仿宋" w:hAnsi="仿宋" w:eastAsia="仿宋" w:cs="仿宋"/>
          <w:b w:val="0"/>
          <w:bCs w:val="0"/>
          <w:kern w:val="0"/>
          <w:sz w:val="32"/>
          <w:szCs w:val="32"/>
          <w:shd w:val="clear" w:color="auto" w:fill="FFFFFF"/>
          <w:lang w:val="en-US" w:eastAsia="zh-CN" w:bidi="ar"/>
        </w:rPr>
        <w:t>2021年 1月28</w:t>
      </w:r>
      <w:bookmarkStart w:id="0" w:name="_GoBack"/>
      <w:bookmarkEnd w:id="0"/>
      <w:r>
        <w:rPr>
          <w:rFonts w:hint="eastAsia" w:ascii="仿宋" w:hAnsi="仿宋" w:eastAsia="仿宋" w:cs="仿宋"/>
          <w:b w:val="0"/>
          <w:bCs w:val="0"/>
          <w:kern w:val="0"/>
          <w:sz w:val="32"/>
          <w:szCs w:val="32"/>
          <w:shd w:val="clear" w:color="auto" w:fill="FFFFFF"/>
          <w:lang w:val="en-US" w:eastAsia="zh-CN" w:bidi="ar"/>
        </w:rPr>
        <w:t>日</w:t>
      </w:r>
    </w:p>
    <w:p>
      <w:pPr>
        <w:keepNext w:val="0"/>
        <w:keepLines w:val="0"/>
        <w:widowControl/>
        <w:suppressLineNumbers w:val="0"/>
        <w:spacing w:before="0" w:beforeAutospacing="0" w:after="0" w:afterAutospacing="0" w:line="480" w:lineRule="auto"/>
        <w:ind w:right="0"/>
        <w:jc w:val="left"/>
        <w:rPr>
          <w:rFonts w:hint="eastAsia" w:ascii="仿宋_GB2312" w:hAnsi="仿宋_GB2312" w:eastAsia="仿宋_GB2312" w:cs="仿宋_GB2312"/>
          <w:kern w:val="0"/>
          <w:sz w:val="32"/>
          <w:szCs w:val="32"/>
          <w:shd w:val="clear" w:color="auto" w:fill="FFFFFF"/>
          <w:lang w:val="en-US" w:eastAsia="zh-CN" w:bidi="ar"/>
        </w:rPr>
      </w:pPr>
    </w:p>
    <w:p>
      <w:pPr>
        <w:keepNext w:val="0"/>
        <w:keepLines w:val="0"/>
        <w:widowControl/>
        <w:suppressLineNumbers w:val="0"/>
        <w:spacing w:before="0" w:beforeAutospacing="0" w:after="0" w:afterAutospacing="0" w:line="480" w:lineRule="auto"/>
        <w:ind w:left="0" w:right="0" w:firstLine="640" w:firstLineChars="200"/>
        <w:jc w:val="both"/>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按照《中华人民共和国政府信息公开条例》（2019年5月15日起施行）的相关规定，根据《国务院办公厅政府信息与政务公开办公室关于政府信息公开工作年度报告有关事项的通知》（国办公开办函〔2019〕60号）的具体要求，结合牡丹江市营商环境建设监督局政务公开工作实际形成此报告，统计时间自 2021年1月1日起至 2021年 12 月 31 日。</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240" w:lineRule="auto"/>
        <w:ind w:right="0" w:rightChars="0" w:firstLine="640" w:firstLineChars="200"/>
        <w:jc w:val="left"/>
        <w:textAlignment w:val="auto"/>
        <w:rPr>
          <w:rFonts w:hint="eastAsia" w:ascii="黑体" w:hAnsi="黑体" w:eastAsia="黑体" w:cs="黑体"/>
          <w:b w:val="0"/>
          <w:bCs/>
          <w:kern w:val="0"/>
          <w:sz w:val="32"/>
          <w:szCs w:val="32"/>
          <w:shd w:val="clear" w:color="auto" w:fill="FFFFFF"/>
          <w:lang w:val="en-US" w:eastAsia="zh-CN" w:bidi="ar"/>
        </w:rPr>
      </w:pPr>
      <w:r>
        <w:rPr>
          <w:rFonts w:hint="eastAsia" w:ascii="黑体" w:hAnsi="黑体" w:eastAsia="黑体" w:cs="黑体"/>
          <w:b w:val="0"/>
          <w:bCs/>
          <w:kern w:val="0"/>
          <w:sz w:val="32"/>
          <w:szCs w:val="32"/>
          <w:shd w:val="clear" w:color="auto" w:fill="FFFFFF"/>
          <w:lang w:val="en-US" w:eastAsia="zh-CN" w:bidi="ar"/>
        </w:rPr>
        <w:t>总体情况</w:t>
      </w:r>
    </w:p>
    <w:p>
      <w:pPr>
        <w:keepNext w:val="0"/>
        <w:keepLines w:val="0"/>
        <w:widowControl/>
        <w:suppressLineNumbers w:val="0"/>
        <w:spacing w:before="0" w:beforeAutospacing="0" w:after="0" w:afterAutospacing="0" w:line="480" w:lineRule="auto"/>
        <w:ind w:left="0" w:right="0" w:firstLine="640" w:firstLineChars="200"/>
        <w:jc w:val="both"/>
        <w:rPr>
          <w:rFonts w:hint="eastAsia" w:ascii="黑体" w:hAnsi="黑体" w:eastAsia="黑体" w:cs="黑体"/>
          <w:b w:val="0"/>
          <w:bCs/>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 xml:space="preserve">2021年，按照市委市政府关于推进政务公开工作的系列决策部署，紧紧围绕中心工作及群众关注关切，以提升政府信息及政务公开质量为主线，大力推进决策、执行、管理、服务和结果公开，取得明显成效。 </w:t>
      </w:r>
    </w:p>
    <w:p>
      <w:pPr>
        <w:numPr>
          <w:ilvl w:val="0"/>
          <w:numId w:val="0"/>
        </w:numPr>
        <w:ind w:firstLine="643" w:firstLineChars="200"/>
        <w:jc w:val="left"/>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kern w:val="0"/>
          <w:sz w:val="32"/>
          <w:szCs w:val="32"/>
          <w:shd w:val="clear" w:color="auto" w:fill="FFFFFF"/>
          <w:lang w:val="en-US" w:eastAsia="zh-CN" w:bidi="ar"/>
        </w:rPr>
        <w:t>（一）</w:t>
      </w:r>
      <w:r>
        <w:rPr>
          <w:rFonts w:hint="eastAsia" w:ascii="楷体" w:hAnsi="楷体" w:eastAsia="楷体" w:cs="楷体"/>
          <w:b/>
          <w:bCs/>
          <w:sz w:val="32"/>
          <w:szCs w:val="32"/>
        </w:rPr>
        <w:t>强化组织领导，健全工作机制</w:t>
      </w:r>
    </w:p>
    <w:p>
      <w:pPr>
        <w:keepNext w:val="0"/>
        <w:keepLines w:val="0"/>
        <w:widowControl/>
        <w:suppressLineNumbers w:val="0"/>
        <w:spacing w:before="0" w:beforeAutospacing="0" w:after="0" w:afterAutospacing="0" w:line="480" w:lineRule="auto"/>
        <w:ind w:left="0" w:right="0" w:firstLine="640" w:firstLineChars="200"/>
        <w:jc w:val="both"/>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 xml:space="preserve">调整局政务公开工作领导小组，领导小组组长由局主要负责人担任，副组长由分管副局长担任，成员由各科室主要负责人担任。印发《2021年政务公开工作要点》，对全年政务公开工作进行了安排部署。根据机构改革情况，及时对政府信息公开指南进行修订并重新发布，对信息公开目录及时进行调整。加强督查督办，各科室及局直各单位均明确了专人负责政务公开工作，及时督促各科室按时主动公开政府信息。不断健全完善政府信息主动公开制度和依申请公开制度、保密审查等制度，为政府信息公开工作长期有效的开展提供组织和制度保障。 </w:t>
      </w:r>
    </w:p>
    <w:p>
      <w:pPr>
        <w:keepNext w:val="0"/>
        <w:keepLines w:val="0"/>
        <w:widowControl/>
        <w:suppressLineNumbers w:val="0"/>
        <w:spacing w:before="0" w:beforeAutospacing="0" w:after="0" w:afterAutospacing="0" w:line="480" w:lineRule="auto"/>
        <w:ind w:right="0" w:firstLine="643" w:firstLineChars="200"/>
        <w:jc w:val="both"/>
        <w:rPr>
          <w:rFonts w:hint="eastAsia" w:ascii="楷体" w:hAnsi="楷体" w:eastAsia="楷体" w:cs="楷体"/>
          <w:b/>
          <w:bCs w:val="0"/>
          <w:sz w:val="32"/>
          <w:szCs w:val="32"/>
        </w:rPr>
      </w:pPr>
      <w:r>
        <w:rPr>
          <w:rFonts w:hint="eastAsia" w:ascii="楷体_GB2312" w:hAnsi="楷体_GB2312" w:eastAsia="楷体_GB2312" w:cs="楷体_GB2312"/>
          <w:b/>
          <w:bCs w:val="0"/>
          <w:kern w:val="0"/>
          <w:sz w:val="32"/>
          <w:szCs w:val="32"/>
          <w:shd w:val="clear" w:color="auto" w:fill="FFFFFF"/>
          <w:lang w:val="en-US" w:eastAsia="zh-CN" w:bidi="ar"/>
        </w:rPr>
        <w:t>（二）</w:t>
      </w:r>
      <w:r>
        <w:rPr>
          <w:rFonts w:hint="eastAsia" w:ascii="楷体" w:hAnsi="楷体" w:eastAsia="楷体" w:cs="楷体"/>
          <w:b/>
          <w:bCs/>
          <w:sz w:val="32"/>
          <w:szCs w:val="32"/>
        </w:rPr>
        <w:t>做好重点领域信息公开</w:t>
      </w:r>
    </w:p>
    <w:p>
      <w:pPr>
        <w:numPr>
          <w:ilvl w:val="0"/>
          <w:numId w:val="0"/>
        </w:numPr>
        <w:ind w:leftChars="0" w:firstLine="640" w:firstLineChars="200"/>
        <w:jc w:val="left"/>
        <w:rPr>
          <w:rFonts w:hint="eastAsia" w:ascii="仿宋" w:hAnsi="仿宋" w:eastAsia="仿宋" w:cs="仿宋"/>
          <w:sz w:val="32"/>
          <w:szCs w:val="32"/>
        </w:rPr>
      </w:pPr>
      <w:r>
        <w:rPr>
          <w:rFonts w:hint="eastAsia" w:ascii="仿宋_GB2312" w:hAnsi="仿宋_GB2312" w:eastAsia="仿宋_GB2312" w:cs="仿宋_GB2312"/>
          <w:kern w:val="0"/>
          <w:sz w:val="32"/>
          <w:szCs w:val="32"/>
          <w:shd w:val="clear" w:color="auto" w:fill="FFFFFF"/>
          <w:lang w:val="en-US" w:eastAsia="zh-CN" w:bidi="ar"/>
        </w:rPr>
        <w:t>围绕全局年度重点工作，加大相关政策措施的执行和落实情况公开力度。推进财政信息细化公开，及时主动地公开了2020年财务决算、2021年财务预算，进一步扩大公开范围、细化公开内容、提高了预决算透明度。</w:t>
      </w:r>
      <w:r>
        <w:rPr>
          <w:rFonts w:hint="eastAsia" w:ascii="仿宋" w:hAnsi="仿宋" w:eastAsia="仿宋" w:cs="仿宋"/>
          <w:sz w:val="32"/>
          <w:szCs w:val="32"/>
        </w:rPr>
        <w:t xml:space="preserve"> </w:t>
      </w:r>
    </w:p>
    <w:p>
      <w:pPr>
        <w:keepNext w:val="0"/>
        <w:keepLines w:val="0"/>
        <w:widowControl/>
        <w:suppressLineNumbers w:val="0"/>
        <w:spacing w:before="0" w:beforeAutospacing="0" w:after="0" w:afterAutospacing="0" w:line="480" w:lineRule="auto"/>
        <w:ind w:left="0" w:right="0" w:firstLine="626" w:firstLineChars="195"/>
        <w:jc w:val="left"/>
        <w:rPr>
          <w:rFonts w:hint="eastAsia" w:ascii="楷体_GB2312" w:hAnsi="楷体_GB2312" w:eastAsia="楷体_GB2312" w:cs="楷体_GB2312"/>
          <w:sz w:val="32"/>
          <w:szCs w:val="32"/>
        </w:rPr>
      </w:pPr>
      <w:r>
        <w:rPr>
          <w:rFonts w:hint="eastAsia" w:ascii="楷体_GB2312" w:hAnsi="楷体_GB2312" w:eastAsia="楷体_GB2312" w:cs="楷体_GB2312"/>
          <w:b/>
          <w:bCs w:val="0"/>
          <w:kern w:val="0"/>
          <w:sz w:val="32"/>
          <w:szCs w:val="32"/>
          <w:shd w:val="clear" w:color="auto" w:fill="FFFFFF"/>
          <w:lang w:val="en-US" w:eastAsia="zh-CN" w:bidi="ar"/>
        </w:rPr>
        <w:t>（三）</w:t>
      </w:r>
      <w:r>
        <w:rPr>
          <w:rFonts w:hint="eastAsia" w:ascii="楷体" w:hAnsi="楷体" w:eastAsia="楷体" w:cs="楷体"/>
          <w:b/>
          <w:bCs/>
          <w:sz w:val="32"/>
          <w:szCs w:val="32"/>
        </w:rPr>
        <w:t>加强政务新媒体平台建设</w:t>
      </w:r>
    </w:p>
    <w:p>
      <w:pPr>
        <w:numPr>
          <w:ilvl w:val="0"/>
          <w:numId w:val="0"/>
        </w:numPr>
        <w:ind w:leftChars="0" w:firstLine="640"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根据政务服务、主题教育、涉企惠民等具体工作需要，通过牡丹江市营商环境建设监督局微信公众号及时发布交通运输信息，进一步增强公开实效，提升服务水平，回应社会关切问题，接受公众监督。</w:t>
      </w:r>
      <w:r>
        <w:rPr>
          <w:rFonts w:hint="eastAsia" w:ascii="仿宋" w:hAnsi="仿宋" w:eastAsia="仿宋" w:cs="仿宋"/>
          <w:sz w:val="32"/>
          <w:szCs w:val="32"/>
        </w:rPr>
        <w:t xml:space="preserve"> </w:t>
      </w:r>
    </w:p>
    <w:p>
      <w:pPr>
        <w:keepNext w:val="0"/>
        <w:keepLines w:val="0"/>
        <w:widowControl/>
        <w:suppressLineNumbers w:val="0"/>
        <w:spacing w:before="0" w:beforeAutospacing="0" w:after="0" w:afterAutospacing="0" w:line="480" w:lineRule="auto"/>
        <w:ind w:left="0" w:right="0" w:firstLine="626" w:firstLineChars="195"/>
        <w:jc w:val="left"/>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kern w:val="0"/>
          <w:sz w:val="32"/>
          <w:szCs w:val="32"/>
          <w:shd w:val="clear" w:color="auto" w:fill="FFFFFF"/>
          <w:lang w:val="en-US" w:eastAsia="zh-CN" w:bidi="ar"/>
        </w:rPr>
        <w:t>（四）</w:t>
      </w:r>
      <w:r>
        <w:rPr>
          <w:rFonts w:hint="eastAsia" w:ascii="楷体" w:hAnsi="楷体" w:eastAsia="楷体" w:cs="楷体"/>
          <w:b/>
          <w:bCs/>
          <w:sz w:val="32"/>
          <w:szCs w:val="32"/>
        </w:rPr>
        <w:t>加大主动公开力度</w:t>
      </w:r>
    </w:p>
    <w:p>
      <w:pPr>
        <w:numPr>
          <w:ilvl w:val="0"/>
          <w:numId w:val="0"/>
        </w:numPr>
        <w:ind w:leftChars="0" w:firstLine="640"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充分利用现有公开渠道，不断扩大公开范围，细化公开内容，积极主动公开各类政府信息。官方微信公众号共发布138篇讯息，总阅读量达28496次，单条浏览量最高达4989次，助力企业、群众及时掌握各类政策利好。</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firstLine="640" w:firstLineChars="200"/>
        <w:textAlignment w:val="auto"/>
        <w:rPr>
          <w:b w:val="0"/>
          <w:bCs w:val="0"/>
          <w:sz w:val="32"/>
          <w:szCs w:val="32"/>
        </w:rPr>
      </w:pPr>
      <w:r>
        <w:rPr>
          <w:rFonts w:hint="eastAsia" w:ascii="黑体" w:hAnsi="华文仿宋" w:eastAsia="黑体" w:cs="黑体"/>
          <w:b w:val="0"/>
          <w:bCs w:val="0"/>
          <w:sz w:val="32"/>
          <w:szCs w:val="32"/>
          <w:lang w:val="en-US" w:eastAsia="zh-CN"/>
        </w:rPr>
        <w:t>二、</w:t>
      </w:r>
      <w:r>
        <w:rPr>
          <w:rFonts w:ascii="黑体" w:hAnsi="华文仿宋" w:eastAsia="黑体" w:cs="黑体"/>
          <w:b w:val="0"/>
          <w:bCs w:val="0"/>
          <w:sz w:val="32"/>
          <w:szCs w:val="32"/>
        </w:rPr>
        <w:t>主动公开政府信息情况</w:t>
      </w:r>
    </w:p>
    <w:tbl>
      <w:tblPr>
        <w:tblStyle w:val="4"/>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0"/>
        <w:gridCol w:w="2430"/>
        <w:gridCol w:w="2430"/>
        <w:gridCol w:w="2445"/>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第二十条第（一）项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w:t>
            </w:r>
            <w:r>
              <w:rPr>
                <w:rFonts w:hint="eastAsia" w:ascii="宋体" w:hAnsi="宋体" w:eastAsia="宋体" w:cs="宋体"/>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本年废止件数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现行有效件</w:t>
            </w:r>
            <w:r>
              <w:rPr>
                <w:rFonts w:hint="eastAsia" w:ascii="宋体" w:hAnsi="宋体" w:eastAsia="宋体" w:cs="宋体"/>
                <w:sz w:val="19"/>
                <w:szCs w:val="19"/>
              </w:rPr>
              <w:t>数</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default" w:eastAsia="宋体"/>
                <w:lang w:val="en-US" w:eastAsia="zh-CN"/>
              </w:rPr>
            </w:pPr>
            <w:r>
              <w:rPr>
                <w:rFonts w:hint="eastAsia"/>
                <w:lang w:val="en-US" w:eastAsia="zh-CN"/>
              </w:rPr>
              <w:t>23</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default" w:eastAsia="宋体"/>
                <w:lang w:val="en-US" w:eastAsia="zh-CN"/>
              </w:rPr>
            </w:pPr>
            <w:r>
              <w:rPr>
                <w:rFonts w:hint="eastAsia"/>
                <w:lang w:val="en-US" w:eastAsia="zh-CN"/>
              </w:rPr>
              <w:t>23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第二十条第（五）项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402"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default" w:eastAsia="宋体"/>
                <w:lang w:val="en-US" w:eastAsia="zh-CN"/>
              </w:rPr>
            </w:pPr>
            <w:r>
              <w:rPr>
                <w:rFonts w:hint="eastAsia"/>
                <w:lang w:val="en-US" w:eastAsia="zh-CN"/>
              </w:rPr>
              <w:t>6733</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第二十条第（六）项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本年处理决定数量</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default" w:eastAsia="宋体"/>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第二十条第（八）项</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本年收费金额（单位：万元）</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jc w:val="center"/>
              <w:rPr>
                <w:rFonts w:hint="eastAsia" w:eastAsia="宋体"/>
                <w:lang w:val="en-US" w:eastAsia="zh-CN"/>
              </w:rPr>
            </w:pPr>
            <w:r>
              <w:rPr>
                <w:rFonts w:hint="eastAsia"/>
                <w:lang w:val="en-US" w:eastAsia="zh-CN"/>
              </w:rPr>
              <w:t>0</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100" w:afterAutospacing="1"/>
        <w:ind w:right="1281" w:rightChars="0" w:firstLine="320" w:firstLineChars="100"/>
        <w:jc w:val="left"/>
        <w:textAlignment w:val="auto"/>
      </w:pPr>
      <w:r>
        <w:rPr>
          <w:rFonts w:hint="eastAsia" w:ascii="黑体" w:hAnsi="华文仿宋" w:eastAsia="黑体" w:cs="仿宋"/>
          <w:kern w:val="0"/>
          <w:sz w:val="32"/>
          <w:szCs w:val="32"/>
          <w:lang w:val="en-US" w:eastAsia="zh-CN" w:bidi="ar"/>
        </w:rPr>
        <w:t>三、收到和处理政府信息公开申请情况</w:t>
      </w:r>
    </w:p>
    <w:tbl>
      <w:tblPr>
        <w:tblStyle w:val="4"/>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restart"/>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楷体" w:hAnsi="楷体" w:eastAsia="楷体" w:cs="楷体"/>
                <w:i w:val="0"/>
                <w:iCs w:val="0"/>
                <w:caps w:val="0"/>
                <w:color w:val="333333"/>
                <w:spacing w:val="0"/>
                <w:sz w:val="19"/>
                <w:szCs w:val="19"/>
              </w:rPr>
              <w:t>（本列数据的勾稽关系为：第一项加第二项之和，等于第三项加第四项之和）</w:t>
            </w:r>
          </w:p>
        </w:tc>
        <w:tc>
          <w:tcPr>
            <w:tcW w:w="4844" w:type="dxa"/>
            <w:gridSpan w:val="7"/>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申请人情况</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92" w:type="dxa"/>
            <w:vMerge w:val="restart"/>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自然人</w:t>
            </w:r>
          </w:p>
        </w:tc>
        <w:tc>
          <w:tcPr>
            <w:tcW w:w="3460" w:type="dxa"/>
            <w:gridSpan w:val="5"/>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法人或其他组织</w:t>
            </w:r>
          </w:p>
        </w:tc>
        <w:tc>
          <w:tcPr>
            <w:tcW w:w="692" w:type="dxa"/>
            <w:vMerge w:val="restart"/>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vMerge w:val="continue"/>
            <w:tcBorders>
              <w:top w:val="single" w:color="auto" w:sz="6" w:space="0"/>
              <w:left w:val="single" w:color="auto" w:sz="6" w:space="0"/>
              <w:bottom w:val="outset"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92" w:type="dxa"/>
            <w:vMerge w:val="continue"/>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商业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企业</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科研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机构</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社会公益组织</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法律服务机构</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333333"/>
                <w:spacing w:val="0"/>
                <w:sz w:val="19"/>
                <w:szCs w:val="19"/>
              </w:rPr>
              <w:t>其他</w:t>
            </w:r>
          </w:p>
        </w:tc>
        <w:tc>
          <w:tcPr>
            <w:tcW w:w="692" w:type="dxa"/>
            <w:vMerge w:val="continue"/>
            <w:tcBorders>
              <w:top w:val="single"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一、本年新收政府信息公开申请数量</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二、上年结转政府信息公开申请数量</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default"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restart"/>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三、本年度办理结果</w:t>
            </w:r>
          </w:p>
        </w:tc>
        <w:tc>
          <w:tcPr>
            <w:tcW w:w="4146"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（一）予以公开</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top"/>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04"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4146"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（二）部分公开</w:t>
            </w:r>
            <w:r>
              <w:rPr>
                <w:rFonts w:hint="eastAsia" w:ascii="楷体" w:hAnsi="楷体" w:eastAsia="楷体" w:cs="楷体"/>
                <w:i w:val="0"/>
                <w:iCs w:val="0"/>
                <w:caps w:val="0"/>
                <w:color w:val="333333"/>
                <w:spacing w:val="0"/>
                <w:sz w:val="19"/>
                <w:szCs w:val="19"/>
              </w:rPr>
              <w:t>（区分处理的，只计这一情形，不计其他情形）</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59"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（三）不予公开</w:t>
            </w: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1.属于国家秘密</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single" w:color="auto" w:sz="6" w:space="0"/>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2.其他法律行政法规禁止公开</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3.危及“三安全一稳定”</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4.保护第三方合法权益</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5.属于三类内部事务信息</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6.属于四类过程性信息</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7.属于行政执法案卷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8.属于行政查询事项</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（四）无法提供</w:t>
            </w: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1.本机关不掌握相关政府信息</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2.没有现成信息需要另行制作</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3.补正后申请内容仍不明确</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restart"/>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（五）不予处理</w:t>
            </w: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1.信访举报投诉类申请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2.重复申请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3.要求提供公开出版物</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微软雅黑" w:hAnsi="微软雅黑" w:eastAsia="微软雅黑" w:cs="微软雅黑"/>
                <w:i w:val="0"/>
                <w:iCs w:val="0"/>
                <w:caps w:val="0"/>
                <w:color w:val="333333"/>
                <w:spacing w:val="0"/>
                <w:sz w:val="19"/>
                <w:szCs w:val="19"/>
              </w:rPr>
              <w:t>4.无正当理由大量反复申请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微软雅黑" w:hAnsi="微软雅黑" w:eastAsia="微软雅黑" w:cs="微软雅黑"/>
                <w:i w:val="0"/>
                <w:iCs w:val="0"/>
                <w:caps w:val="0"/>
                <w:color w:val="333333"/>
                <w:spacing w:val="0"/>
                <w:sz w:val="19"/>
                <w:szCs w:val="19"/>
              </w:rPr>
              <w:t>5.要求行政机关确认或重新出具已获取信息</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outset"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restart"/>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（六）其他处理</w:t>
            </w: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iCs w:val="0"/>
                <w:caps w:val="0"/>
                <w:color w:val="333333"/>
                <w:spacing w:val="0"/>
                <w:sz w:val="19"/>
                <w:szCs w:val="19"/>
              </w:rPr>
              <w:t>1.申请人无正当理由逾期不补正、行政机关不再处理其政府信息公开申请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i w:val="0"/>
                <w:iCs w:val="0"/>
                <w:caps w:val="0"/>
                <w:color w:val="333333"/>
                <w:spacing w:val="0"/>
                <w:sz w:val="19"/>
                <w:szCs w:val="19"/>
              </w:rPr>
              <w:t>2.申请人逾期未按收费通知要求缴纳费用、行政机关不再处理其政府信息公开申请</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941" w:type="dxa"/>
            <w:vMerge w:val="continue"/>
            <w:tcBorders>
              <w:top w:val="outset" w:color="auto" w:sz="6" w:space="0"/>
              <w:left w:val="nil"/>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3205"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3.其他</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760" w:type="dxa"/>
            <w:vMerge w:val="continue"/>
            <w:tcBorders>
              <w:top w:val="nil"/>
              <w:left w:val="single" w:color="auto" w:sz="6" w:space="0"/>
              <w:bottom w:val="outset" w:color="auto" w:sz="6" w:space="0"/>
              <w:right w:val="single" w:color="auto" w:sz="6" w:space="0"/>
            </w:tcBorders>
            <w:shd w:val="clear" w:color="auto" w:fill="FFFFFF"/>
            <w:tcMar>
              <w:top w:w="0" w:type="dxa"/>
              <w:left w:w="60" w:type="dxa"/>
              <w:bottom w:w="0" w:type="dxa"/>
              <w:right w:w="60"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4146" w:type="dxa"/>
            <w:gridSpan w:val="2"/>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（七）总计</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CellMar>
            <w:top w:w="0" w:type="dxa"/>
            <w:left w:w="0" w:type="dxa"/>
            <w:bottom w:w="0" w:type="dxa"/>
            <w:right w:w="0" w:type="dxa"/>
          </w:tblCellMar>
        </w:tblPrEx>
        <w:trPr>
          <w:jc w:val="center"/>
        </w:trPr>
        <w:tc>
          <w:tcPr>
            <w:tcW w:w="4906" w:type="dxa"/>
            <w:gridSpan w:val="3"/>
            <w:tcBorders>
              <w:top w:val="nil"/>
              <w:left w:val="single" w:color="auto" w:sz="6" w:space="0"/>
              <w:bottom w:val="single" w:color="auto" w:sz="6" w:space="0"/>
              <w:right w:val="single" w:color="auto" w:sz="6" w:space="0"/>
            </w:tcBorders>
            <w:shd w:val="clear" w:color="auto" w:fill="FFFFFF"/>
            <w:tcMar>
              <w:top w:w="0" w:type="dxa"/>
              <w:left w:w="60" w:type="dxa"/>
              <w:bottom w:w="0" w:type="dxa"/>
              <w:right w:w="6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i w:val="0"/>
                <w:iCs w:val="0"/>
                <w:caps w:val="0"/>
                <w:color w:val="333333"/>
                <w:spacing w:val="0"/>
                <w:sz w:val="19"/>
                <w:szCs w:val="19"/>
              </w:rPr>
              <w:t>四、结转下年度继续办理</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c>
          <w:tcPr>
            <w:tcW w:w="692" w:type="dxa"/>
            <w:tcBorders>
              <w:top w:val="nil"/>
              <w:left w:val="nil"/>
              <w:bottom w:val="single" w:color="auto" w:sz="6" w:space="0"/>
              <w:right w:val="single" w:color="auto" w:sz="6" w:space="0"/>
            </w:tcBorders>
            <w:shd w:val="clear" w:color="auto" w:fill="FFFFFF"/>
            <w:tcMar>
              <w:top w:w="0" w:type="dxa"/>
              <w:left w:w="60" w:type="dxa"/>
              <w:bottom w:w="0" w:type="dxa"/>
              <w:right w:w="60" w:type="dxa"/>
            </w:tcMar>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微软雅黑" w:hAnsi="微软雅黑" w:eastAsia="微软雅黑" w:cs="微软雅黑"/>
                <w:i w:val="0"/>
                <w:iCs w:val="0"/>
                <w:caps w:val="0"/>
                <w:color w:val="333333"/>
                <w:spacing w:val="0"/>
                <w:sz w:val="18"/>
                <w:szCs w:val="18"/>
              </w:rPr>
            </w:pPr>
            <w:r>
              <w:rPr>
                <w:rFonts w:hint="eastAsia" w:ascii="微软雅黑" w:hAnsi="微软雅黑" w:eastAsia="微软雅黑" w:cs="微软雅黑"/>
                <w:i w:val="0"/>
                <w:iCs w:val="0"/>
                <w:caps w:val="0"/>
                <w:color w:val="333333"/>
                <w:spacing w:val="0"/>
                <w:sz w:val="18"/>
                <w:szCs w:val="18"/>
                <w:lang w:val="en-US" w:eastAsia="zh-CN"/>
              </w:rPr>
              <w:t>0</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100" w:afterAutospacing="1"/>
        <w:ind w:right="1281" w:rightChars="0"/>
        <w:jc w:val="left"/>
        <w:textAlignment w:val="auto"/>
        <w:rPr>
          <w:rFonts w:hint="eastAsia" w:ascii="黑体" w:hAnsi="华文仿宋" w:eastAsia="黑体" w:cs="仿宋"/>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100" w:afterAutospacing="1"/>
        <w:ind w:right="0" w:firstLine="640" w:firstLineChars="200"/>
        <w:jc w:val="left"/>
        <w:textAlignment w:val="auto"/>
        <w:rPr>
          <w:sz w:val="32"/>
          <w:szCs w:val="32"/>
        </w:rPr>
      </w:pPr>
      <w:r>
        <w:rPr>
          <w:rFonts w:hint="eastAsia" w:ascii="黑体" w:hAnsi="华文仿宋" w:eastAsia="黑体" w:cs="仿宋"/>
          <w:kern w:val="0"/>
          <w:sz w:val="32"/>
          <w:szCs w:val="32"/>
          <w:lang w:val="en-US" w:eastAsia="zh-CN" w:bidi="ar"/>
        </w:rPr>
        <w:t>四、政府信息公开行政复议、行政诉讼情况</w:t>
      </w:r>
    </w:p>
    <w:p>
      <w:pPr>
        <w:keepNext w:val="0"/>
        <w:keepLines w:val="0"/>
        <w:widowControl/>
        <w:suppressLineNumbers w:val="0"/>
        <w:jc w:val="left"/>
      </w:pPr>
    </w:p>
    <w:tbl>
      <w:tblPr>
        <w:tblStyle w:val="4"/>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0"/>
        <w:gridCol w:w="650"/>
        <w:gridCol w:w="650"/>
        <w:gridCol w:w="650"/>
        <w:gridCol w:w="650"/>
        <w:gridCol w:w="650"/>
        <w:gridCol w:w="650"/>
        <w:gridCol w:w="650"/>
        <w:gridCol w:w="650"/>
        <w:gridCol w:w="650"/>
        <w:gridCol w:w="650"/>
        <w:gridCol w:w="650"/>
        <w:gridCol w:w="650"/>
        <w:gridCol w:w="650"/>
        <w:gridCol w:w="650"/>
      </w:tblGrid>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FFFFFF"/>
        </w:tblPrEx>
        <w:trPr>
          <w:jc w:val="center"/>
        </w:trPr>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行政复议</w:t>
            </w:r>
          </w:p>
        </w:tc>
        <w:tc>
          <w:tcPr>
            <w:tcW w:w="6435" w:type="dxa"/>
            <w:gridSpan w:val="10"/>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行政诉讼</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结果维持</w:t>
            </w:r>
          </w:p>
        </w:tc>
        <w:tc>
          <w:tcPr>
            <w:tcW w:w="645"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其他</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结果</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vMerge w:val="restart"/>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总计</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未经复议直接起诉</w:t>
            </w:r>
          </w:p>
        </w:tc>
        <w:tc>
          <w:tcPr>
            <w:tcW w:w="3210" w:type="dxa"/>
            <w:gridSpan w:val="5"/>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复议后起诉</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45" w:type="dxa"/>
            <w:vMerge w:val="continue"/>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维持</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其他</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总计</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维持</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结果</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纠正</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其他</w:t>
            </w:r>
            <w:r>
              <w:rPr>
                <w:rFonts w:hint="eastAsia" w:ascii="微软雅黑" w:hAnsi="微软雅黑" w:eastAsia="微软雅黑" w:cs="微软雅黑"/>
                <w:i w:val="0"/>
                <w:iCs w:val="0"/>
                <w:caps w:val="0"/>
                <w:color w:val="000000"/>
                <w:spacing w:val="0"/>
                <w:sz w:val="19"/>
                <w:szCs w:val="19"/>
              </w:rPr>
              <w:br w:type="textWrapping"/>
            </w:r>
            <w:r>
              <w:rPr>
                <w:rFonts w:hint="eastAsia" w:ascii="宋体" w:hAnsi="宋体" w:eastAsia="宋体" w:cs="宋体"/>
                <w:i w:val="0"/>
                <w:iCs w:val="0"/>
                <w:caps w:val="0"/>
                <w:color w:val="000000"/>
                <w:spacing w:val="0"/>
                <w:sz w:val="19"/>
                <w:szCs w:val="19"/>
              </w:rPr>
              <w:t>结果</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333333"/>
                <w:spacing w:val="0"/>
                <w:sz w:val="19"/>
                <w:szCs w:val="19"/>
              </w:rPr>
              <w:t>尚未</w:t>
            </w:r>
            <w:r>
              <w:rPr>
                <w:rFonts w:hint="eastAsia" w:ascii="微软雅黑" w:hAnsi="微软雅黑" w:eastAsia="微软雅黑" w:cs="微软雅黑"/>
                <w:i w:val="0"/>
                <w:iCs w:val="0"/>
                <w:caps w:val="0"/>
                <w:color w:val="333333"/>
                <w:spacing w:val="0"/>
                <w:sz w:val="19"/>
                <w:szCs w:val="19"/>
              </w:rPr>
              <w:br w:type="textWrapping"/>
            </w:r>
            <w:r>
              <w:rPr>
                <w:rFonts w:hint="eastAsia" w:ascii="宋体" w:hAnsi="宋体" w:eastAsia="宋体" w:cs="宋体"/>
                <w:i w:val="0"/>
                <w:iCs w:val="0"/>
                <w:caps w:val="0"/>
                <w:color w:val="333333"/>
                <w:spacing w:val="0"/>
                <w:sz w:val="19"/>
                <w:szCs w:val="19"/>
              </w:rPr>
              <w:t>审结</w:t>
            </w:r>
          </w:p>
        </w:tc>
        <w:tc>
          <w:tcPr>
            <w:tcW w:w="645"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iCs w:val="0"/>
                <w:caps w:val="0"/>
                <w:color w:val="000000"/>
                <w:spacing w:val="0"/>
                <w:sz w:val="19"/>
                <w:szCs w:val="19"/>
              </w:rPr>
              <w:t>总计</w:t>
            </w:r>
          </w:p>
        </w:tc>
      </w:tr>
      <w:tr>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PrEx>
        <w:trPr>
          <w:trHeight w:val="675" w:hRule="atLeast"/>
          <w:jc w:val="center"/>
        </w:trPr>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c>
          <w:tcPr>
            <w:tcW w:w="645" w:type="dxa"/>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firstLine="0"/>
              <w:jc w:val="center"/>
              <w:rPr>
                <w:rFonts w:hint="eastAsia" w:ascii="微软雅黑" w:hAnsi="微软雅黑" w:eastAsia="微软雅黑" w:cs="微软雅黑"/>
                <w:i w:val="0"/>
                <w:iCs w:val="0"/>
                <w:caps w:val="0"/>
                <w:color w:val="333333"/>
                <w:spacing w:val="0"/>
                <w:sz w:val="18"/>
                <w:szCs w:val="18"/>
                <w:lang w:val="en-US" w:eastAsia="zh-CN"/>
              </w:rPr>
            </w:pPr>
            <w:r>
              <w:rPr>
                <w:rFonts w:hint="eastAsia" w:ascii="微软雅黑" w:hAnsi="微软雅黑" w:eastAsia="微软雅黑" w:cs="微软雅黑"/>
                <w:i w:val="0"/>
                <w:iCs w:val="0"/>
                <w:caps w:val="0"/>
                <w:color w:val="333333"/>
                <w:spacing w:val="0"/>
                <w:sz w:val="18"/>
                <w:szCs w:val="18"/>
                <w:lang w:val="en-US" w:eastAsia="zh-CN"/>
              </w:rPr>
              <w:t>0</w:t>
            </w:r>
          </w:p>
        </w:tc>
      </w:tr>
    </w:tbl>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100" w:beforeAutospacing="1" w:after="100" w:afterAutospacing="1" w:line="432" w:lineRule="atLeast"/>
        <w:ind w:right="0" w:rightChars="0" w:firstLine="640" w:firstLineChars="200"/>
        <w:jc w:val="left"/>
        <w:textAlignment w:val="auto"/>
        <w:rPr>
          <w:rFonts w:hint="eastAsia" w:ascii="黑体" w:hAnsi="黑体" w:eastAsia="黑体" w:cs="黑体"/>
          <w:b w:val="0"/>
          <w:bCs/>
          <w:kern w:val="0"/>
          <w:sz w:val="32"/>
          <w:szCs w:val="32"/>
          <w:shd w:val="clear" w:color="auto" w:fill="FFFFFF"/>
          <w:lang w:val="en-US" w:eastAsia="zh-CN" w:bidi="ar"/>
        </w:rPr>
      </w:pPr>
      <w:r>
        <w:rPr>
          <w:rFonts w:hint="eastAsia" w:ascii="黑体" w:hAnsi="黑体" w:eastAsia="黑体" w:cs="黑体"/>
          <w:b w:val="0"/>
          <w:bCs/>
          <w:kern w:val="0"/>
          <w:sz w:val="32"/>
          <w:szCs w:val="32"/>
          <w:shd w:val="clear" w:color="auto" w:fill="FFFFFF"/>
          <w:lang w:val="en-US" w:eastAsia="zh-CN" w:bidi="ar"/>
        </w:rPr>
        <w:t>五、存在的主要问题及改进情况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100" w:beforeAutospacing="1" w:after="100" w:afterAutospacing="1" w:line="432" w:lineRule="atLeast"/>
        <w:ind w:right="0" w:rightChars="0" w:firstLine="643" w:firstLineChars="200"/>
        <w:jc w:val="left"/>
        <w:textAlignment w:val="auto"/>
        <w:rPr>
          <w:rFonts w:hint="eastAsia" w:ascii="楷体" w:hAnsi="楷体" w:eastAsia="楷体" w:cs="楷体"/>
          <w:b/>
          <w:bCs/>
          <w:kern w:val="0"/>
          <w:sz w:val="32"/>
          <w:szCs w:val="32"/>
          <w:shd w:val="clear" w:color="auto" w:fill="FFFFFF"/>
          <w:lang w:val="en-US" w:eastAsia="zh-CN" w:bidi="ar"/>
        </w:rPr>
      </w:pPr>
      <w:r>
        <w:rPr>
          <w:rFonts w:hint="eastAsia" w:ascii="楷体" w:hAnsi="楷体" w:eastAsia="楷体" w:cs="楷体"/>
          <w:b/>
          <w:bCs/>
          <w:kern w:val="0"/>
          <w:sz w:val="32"/>
          <w:szCs w:val="32"/>
          <w:shd w:val="clear" w:color="auto" w:fill="FFFFFF"/>
          <w:lang w:val="en-US" w:eastAsia="zh-CN" w:bidi="ar"/>
        </w:rPr>
        <w:t xml:space="preserve">（一）存在问题 </w:t>
      </w:r>
    </w:p>
    <w:p>
      <w:pPr>
        <w:keepNext w:val="0"/>
        <w:keepLines w:val="0"/>
        <w:widowControl/>
        <w:numPr>
          <w:ilvl w:val="0"/>
          <w:numId w:val="0"/>
        </w:numPr>
        <w:suppressLineNumbers w:val="0"/>
        <w:spacing w:before="100" w:beforeAutospacing="1" w:after="100" w:afterAutospacing="1" w:line="432" w:lineRule="atLeast"/>
        <w:ind w:right="0" w:rightChars="0" w:firstLine="643"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b/>
          <w:bCs/>
          <w:kern w:val="0"/>
          <w:sz w:val="32"/>
          <w:szCs w:val="32"/>
          <w:shd w:val="clear" w:color="auto" w:fill="FFFFFF"/>
          <w:lang w:val="en-US" w:eastAsia="zh-CN" w:bidi="ar"/>
        </w:rPr>
        <w:t>一是主动公开性差。</w:t>
      </w:r>
      <w:r>
        <w:rPr>
          <w:rFonts w:hint="eastAsia" w:ascii="仿宋_GB2312" w:hAnsi="仿宋_GB2312" w:eastAsia="仿宋_GB2312" w:cs="仿宋_GB2312"/>
          <w:kern w:val="0"/>
          <w:sz w:val="32"/>
          <w:szCs w:val="32"/>
          <w:shd w:val="clear" w:color="auto" w:fill="FFFFFF"/>
          <w:lang w:val="en-US" w:eastAsia="zh-CN" w:bidi="ar"/>
        </w:rPr>
        <w:t>主要表现在具体工作人员在主动公开、主动公开的时效性上还需提高，若干方面的信息公开滞后的问题仍然存在，特别是在公开信息在所属关系、所属主题上掌握不准，在重点领域信息公开、部门信息公开和涉企政务信息公开方面出现串项问题，效率不高、效力不强。</w:t>
      </w:r>
    </w:p>
    <w:p>
      <w:pPr>
        <w:keepNext w:val="0"/>
        <w:keepLines w:val="0"/>
        <w:widowControl/>
        <w:numPr>
          <w:ilvl w:val="0"/>
          <w:numId w:val="0"/>
        </w:numPr>
        <w:suppressLineNumbers w:val="0"/>
        <w:spacing w:before="100" w:beforeAutospacing="1" w:after="100" w:afterAutospacing="1" w:line="432" w:lineRule="atLeast"/>
        <w:ind w:right="0" w:rightChars="0" w:firstLine="643"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b/>
          <w:bCs/>
          <w:kern w:val="0"/>
          <w:sz w:val="32"/>
          <w:szCs w:val="32"/>
          <w:shd w:val="clear" w:color="auto" w:fill="FFFFFF"/>
          <w:lang w:val="en-US" w:eastAsia="zh-CN" w:bidi="ar"/>
        </w:rPr>
        <w:t>二是政府信息公开的深度和广度仍需进一步拓展。</w:t>
      </w:r>
      <w:r>
        <w:rPr>
          <w:rFonts w:hint="eastAsia" w:ascii="仿宋_GB2312" w:hAnsi="仿宋_GB2312" w:eastAsia="仿宋_GB2312" w:cs="仿宋_GB2312"/>
          <w:kern w:val="0"/>
          <w:sz w:val="32"/>
          <w:szCs w:val="32"/>
          <w:shd w:val="clear" w:color="auto" w:fill="FFFFFF"/>
          <w:lang w:val="en-US" w:eastAsia="zh-CN" w:bidi="ar"/>
        </w:rPr>
        <w:t>针对营商环境信息多、服务对象广的特点，服务性信息公开的时效性和广泛性有待加强，信息公开工作专职人员配备不足，业务水平还需进一步提高。</w:t>
      </w:r>
    </w:p>
    <w:p>
      <w:pPr>
        <w:keepNext w:val="0"/>
        <w:keepLines w:val="0"/>
        <w:pageBreakBefore w:val="0"/>
        <w:widowControl/>
        <w:numPr>
          <w:ilvl w:val="0"/>
          <w:numId w:val="0"/>
        </w:numPr>
        <w:suppressLineNumbers w:val="0"/>
        <w:kinsoku/>
        <w:wordWrap/>
        <w:overflowPunct/>
        <w:topLinePunct w:val="0"/>
        <w:autoSpaceDE/>
        <w:autoSpaceDN/>
        <w:bidi w:val="0"/>
        <w:adjustRightInd/>
        <w:snapToGrid w:val="0"/>
        <w:spacing w:before="100" w:beforeAutospacing="1" w:after="100" w:afterAutospacing="1" w:line="432" w:lineRule="atLeast"/>
        <w:ind w:right="0" w:rightChars="0" w:firstLine="643" w:firstLineChars="200"/>
        <w:jc w:val="left"/>
        <w:textAlignment w:val="auto"/>
        <w:rPr>
          <w:rFonts w:hint="eastAsia" w:ascii="仿宋_GB2312" w:hAnsi="仿宋_GB2312" w:eastAsia="仿宋_GB2312" w:cs="仿宋_GB2312"/>
          <w:kern w:val="0"/>
          <w:sz w:val="32"/>
          <w:szCs w:val="32"/>
          <w:shd w:val="clear" w:color="auto" w:fill="FFFFFF"/>
          <w:lang w:val="en-US" w:eastAsia="zh-CN" w:bidi="ar"/>
        </w:rPr>
      </w:pPr>
      <w:r>
        <w:rPr>
          <w:rFonts w:hint="eastAsia" w:ascii="楷体" w:hAnsi="楷体" w:eastAsia="楷体" w:cs="楷体"/>
          <w:b/>
          <w:bCs/>
          <w:kern w:val="0"/>
          <w:sz w:val="32"/>
          <w:szCs w:val="32"/>
          <w:shd w:val="clear" w:color="auto" w:fill="FFFFFF"/>
          <w:lang w:val="en-US" w:eastAsia="zh-CN" w:bidi="ar"/>
        </w:rPr>
        <w:t xml:space="preserve">（二）下步打算 </w:t>
      </w:r>
    </w:p>
    <w:p>
      <w:pPr>
        <w:keepNext w:val="0"/>
        <w:keepLines w:val="0"/>
        <w:widowControl/>
        <w:numPr>
          <w:ilvl w:val="0"/>
          <w:numId w:val="0"/>
        </w:numPr>
        <w:suppressLineNumbers w:val="0"/>
        <w:spacing w:before="100" w:beforeAutospacing="1" w:after="100" w:afterAutospacing="1" w:line="432" w:lineRule="atLeast"/>
        <w:ind w:right="0" w:rightChars="0" w:firstLine="643"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b/>
          <w:bCs/>
          <w:kern w:val="0"/>
          <w:sz w:val="32"/>
          <w:szCs w:val="32"/>
          <w:shd w:val="clear" w:color="auto" w:fill="FFFFFF"/>
          <w:lang w:val="en-US" w:eastAsia="zh-CN" w:bidi="ar"/>
        </w:rPr>
        <w:t>一是继续加大政府信息公开力度。</w:t>
      </w:r>
      <w:r>
        <w:rPr>
          <w:rFonts w:hint="eastAsia" w:ascii="仿宋_GB2312" w:hAnsi="仿宋_GB2312" w:eastAsia="仿宋_GB2312" w:cs="仿宋_GB2312"/>
          <w:kern w:val="0"/>
          <w:sz w:val="32"/>
          <w:szCs w:val="32"/>
          <w:shd w:val="clear" w:color="auto" w:fill="FFFFFF"/>
          <w:lang w:val="en-US" w:eastAsia="zh-CN" w:bidi="ar"/>
        </w:rPr>
        <w:t>紧紧围绕市营商环境建设监督局工作，着力于职责范围内群众普遍关心的内容和社会热点、焦点问题，深入挖掘政务公开在推动业务工作开展、增强社会监督与社会共治方面的重要作用，完善政务公开自身建设，充实市营商环境建设监督局内法定主动政府信息公开的内容，扩展政府信息公开的覆盖范围，做到“应公开、尽公开”。</w:t>
      </w:r>
    </w:p>
    <w:p>
      <w:pPr>
        <w:keepNext w:val="0"/>
        <w:keepLines w:val="0"/>
        <w:widowControl/>
        <w:numPr>
          <w:ilvl w:val="0"/>
          <w:numId w:val="0"/>
        </w:numPr>
        <w:suppressLineNumbers w:val="0"/>
        <w:spacing w:before="100" w:beforeAutospacing="1" w:after="100" w:afterAutospacing="1" w:line="432" w:lineRule="atLeast"/>
        <w:ind w:right="0" w:rightChars="0" w:firstLine="643"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b/>
          <w:bCs/>
          <w:kern w:val="0"/>
          <w:sz w:val="32"/>
          <w:szCs w:val="32"/>
          <w:shd w:val="clear" w:color="auto" w:fill="FFFFFF"/>
          <w:lang w:val="en-US" w:eastAsia="zh-CN" w:bidi="ar"/>
        </w:rPr>
        <w:t>二是严格落实政府信息发布保密审查机制。</w:t>
      </w:r>
      <w:r>
        <w:rPr>
          <w:rFonts w:hint="eastAsia" w:ascii="仿宋_GB2312" w:hAnsi="仿宋_GB2312" w:eastAsia="仿宋_GB2312" w:cs="仿宋_GB2312"/>
          <w:kern w:val="0"/>
          <w:sz w:val="32"/>
          <w:szCs w:val="32"/>
          <w:shd w:val="clear" w:color="auto" w:fill="FFFFFF"/>
          <w:lang w:val="en-US" w:eastAsia="zh-CN" w:bidi="ar"/>
        </w:rPr>
        <w:t xml:space="preserve">严格依照保密法律规定，严格履行保密审查程序，涉及敏感内容和重要数字的信息，未经审批的信息不得发布。 </w:t>
      </w:r>
    </w:p>
    <w:p>
      <w:pPr>
        <w:keepNext w:val="0"/>
        <w:keepLines w:val="0"/>
        <w:widowControl/>
        <w:numPr>
          <w:ilvl w:val="0"/>
          <w:numId w:val="0"/>
        </w:numPr>
        <w:suppressLineNumbers w:val="0"/>
        <w:spacing w:before="100" w:beforeAutospacing="1" w:after="100" w:afterAutospacing="1" w:line="432" w:lineRule="atLeast"/>
        <w:ind w:right="0" w:rightChars="0" w:firstLine="643" w:firstLineChars="200"/>
        <w:jc w:val="lef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b/>
          <w:bCs/>
          <w:kern w:val="0"/>
          <w:sz w:val="32"/>
          <w:szCs w:val="32"/>
          <w:shd w:val="clear" w:color="auto" w:fill="FFFFFF"/>
          <w:lang w:val="en-US" w:eastAsia="zh-CN" w:bidi="ar"/>
        </w:rPr>
        <w:t>三是加强政务公开基础性工作。</w:t>
      </w:r>
      <w:r>
        <w:rPr>
          <w:rFonts w:hint="eastAsia" w:ascii="仿宋_GB2312" w:hAnsi="仿宋_GB2312" w:eastAsia="仿宋_GB2312" w:cs="仿宋_GB2312"/>
          <w:kern w:val="0"/>
          <w:sz w:val="32"/>
          <w:szCs w:val="32"/>
          <w:shd w:val="clear" w:color="auto" w:fill="FFFFFF"/>
          <w:lang w:val="en-US" w:eastAsia="zh-CN" w:bidi="ar"/>
        </w:rPr>
        <w:t xml:space="preserve">加强政务公开工作培训，加强公开队伍素质培养，完善相关工作制度，加强政务公开工作制度建设，制定信息发布规范，继续将涉及人民群众切身利益的事项作为公开重点，梳理、规范信息公开内容，加大网上公开力度，全面、规范做好政府信息公开工作。 </w:t>
      </w:r>
    </w:p>
    <w:p>
      <w:pPr>
        <w:keepNext w:val="0"/>
        <w:keepLines w:val="0"/>
        <w:widowControl/>
        <w:numPr>
          <w:ilvl w:val="0"/>
          <w:numId w:val="0"/>
        </w:numPr>
        <w:suppressLineNumbers w:val="0"/>
        <w:spacing w:before="100" w:beforeAutospacing="1" w:after="100" w:afterAutospacing="1" w:line="432" w:lineRule="atLeast"/>
        <w:ind w:right="0" w:rightChars="0" w:firstLine="640" w:firstLineChars="200"/>
        <w:jc w:val="left"/>
        <w:rPr>
          <w:rFonts w:hint="eastAsia" w:ascii="黑体" w:hAnsi="黑体" w:eastAsia="黑体" w:cs="黑体"/>
          <w:b w:val="0"/>
          <w:bCs/>
          <w:kern w:val="0"/>
          <w:sz w:val="32"/>
          <w:szCs w:val="32"/>
          <w:shd w:val="clear" w:color="auto" w:fill="FFFFFF"/>
          <w:lang w:val="en-US" w:eastAsia="zh-CN" w:bidi="ar"/>
        </w:rPr>
      </w:pPr>
      <w:r>
        <w:rPr>
          <w:rFonts w:hint="eastAsia" w:ascii="黑体" w:hAnsi="黑体" w:eastAsia="黑体" w:cs="黑体"/>
          <w:b w:val="0"/>
          <w:bCs/>
          <w:kern w:val="0"/>
          <w:sz w:val="32"/>
          <w:szCs w:val="32"/>
          <w:shd w:val="clear" w:color="auto" w:fill="FFFFFF"/>
          <w:lang w:val="en-US" w:eastAsia="zh-CN" w:bidi="ar"/>
        </w:rPr>
        <w:t>六、其他需要报告的事项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240" w:lineRule="auto"/>
        <w:ind w:right="0" w:righ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lang w:val="en-US" w:eastAsia="zh-CN" w:bidi="ar"/>
        </w:rPr>
        <w:t>无</w:t>
      </w:r>
    </w:p>
    <w:p/>
    <w:sectPr>
      <w:footerReference r:id="rId3" w:type="default"/>
      <w:pgSz w:w="11906" w:h="16838"/>
      <w:pgMar w:top="0" w:right="1800" w:bottom="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A2FB84"/>
    <w:multiLevelType w:val="singleLevel"/>
    <w:tmpl w:val="F7A2FB8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5B4EF5"/>
    <w:rsid w:val="01B9553C"/>
    <w:rsid w:val="117767CC"/>
    <w:rsid w:val="245361B6"/>
    <w:rsid w:val="4185477F"/>
    <w:rsid w:val="5B3E1789"/>
    <w:rsid w:val="75AC1D6B"/>
    <w:rsid w:val="775B4EF5"/>
    <w:rsid w:val="78EB646C"/>
    <w:rsid w:val="7DE917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149</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2022-01-07T01:08:00Z</dcterms:created>
  <dc:creator>kent</dc:creator>
  <cp:lastModifiedBy>kent</cp:lastModifiedBy>
  <cp:lastPrinted>2022-01-24T07:57:00Z</cp:lastPrinted>
  <dcterms:modified xsi:type="dcterms:W3CDTF">2022-01-28T02:21:56Z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53830A112A714281A0A1A1942C151456</vt:lpwstr>
  </property>
</Properties>
</file>