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bCs/>
          <w:sz w:val="44"/>
          <w:szCs w:val="44"/>
        </w:rPr>
      </w:pPr>
      <w:r>
        <w:rPr>
          <w:rFonts w:hint="eastAsia" w:asciiTheme="minorEastAsia" w:hAnsiTheme="minorEastAsia"/>
          <w:b/>
          <w:bCs/>
          <w:sz w:val="44"/>
          <w:szCs w:val="44"/>
        </w:rPr>
        <w:t>牡丹江市人民政府办公室</w:t>
      </w:r>
    </w:p>
    <w:p>
      <w:pPr>
        <w:jc w:val="center"/>
        <w:rPr>
          <w:rFonts w:hint="eastAsia" w:asciiTheme="minorEastAsia" w:hAnsiTheme="minorEastAsia"/>
          <w:b/>
          <w:bCs/>
          <w:sz w:val="44"/>
          <w:szCs w:val="44"/>
        </w:rPr>
      </w:pPr>
      <w:r>
        <w:rPr>
          <w:rFonts w:hint="eastAsia" w:asciiTheme="minorEastAsia" w:hAnsiTheme="minorEastAsia"/>
          <w:b/>
          <w:bCs/>
          <w:sz w:val="44"/>
          <w:szCs w:val="44"/>
        </w:rPr>
        <w:t>2020年政府信息公开工作年度报告</w:t>
      </w:r>
    </w:p>
    <w:p>
      <w:pPr>
        <w:jc w:val="center"/>
        <w:rPr>
          <w:rFonts w:hint="eastAsia" w:ascii="楷体" w:hAnsi="楷体" w:eastAsia="楷体" w:cs="楷体"/>
          <w:b/>
          <w:bCs/>
          <w:sz w:val="32"/>
          <w:szCs w:val="32"/>
        </w:rPr>
      </w:pPr>
      <w:r>
        <w:rPr>
          <w:rFonts w:hint="eastAsia" w:ascii="楷体" w:hAnsi="楷体" w:eastAsia="楷体" w:cs="楷体"/>
          <w:b/>
          <w:bCs/>
          <w:sz w:val="32"/>
          <w:szCs w:val="32"/>
        </w:rPr>
        <w:t>2021年1月17日</w:t>
      </w:r>
    </w:p>
    <w:p/>
    <w:p>
      <w:pPr>
        <w:ind w:firstLine="640" w:firstLineChars="200"/>
        <w:rPr>
          <w:rFonts w:hint="eastAsia" w:ascii="仿宋" w:hAnsi="仿宋" w:eastAsia="仿宋"/>
          <w:sz w:val="32"/>
          <w:szCs w:val="32"/>
        </w:rPr>
      </w:pPr>
      <w:r>
        <w:rPr>
          <w:rFonts w:hint="eastAsia" w:ascii="仿宋" w:hAnsi="仿宋" w:eastAsia="仿宋"/>
          <w:sz w:val="32"/>
          <w:szCs w:val="32"/>
        </w:rPr>
        <w:t>根据《中华人民共和国政府信息公开条例》《国务院办公厅政府信息与政务公开办公室关于政府信息公开工作年度报告有关事项的通知》（国办公开办函[2019]60号）文件有关规定和工作要求，现将牡丹江市人民政府办公室2020年政府信息公开工作年度报告予以公开，本报告所列数据的统计时间自2020年1月1日至2020年12月31日。</w:t>
      </w: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一、总体情况</w:t>
      </w:r>
    </w:p>
    <w:p>
      <w:pPr>
        <w:ind w:firstLine="640" w:firstLineChars="200"/>
        <w:rPr>
          <w:rFonts w:hint="eastAsia" w:ascii="仿宋" w:hAnsi="仿宋" w:eastAsia="仿宋"/>
          <w:sz w:val="32"/>
          <w:szCs w:val="32"/>
        </w:rPr>
      </w:pPr>
      <w:r>
        <w:rPr>
          <w:rFonts w:hint="eastAsia" w:ascii="仿宋" w:hAnsi="仿宋" w:eastAsia="仿宋"/>
          <w:sz w:val="32"/>
          <w:szCs w:val="32"/>
        </w:rPr>
        <w:t>2020年，牡丹江市人民政府办公室坚持以习近平新时代中国特色社会主义思想为指导，认真贯彻落实党中央、国务院关于政府信息公开工作的决策部署和《政府信息公开条例》，坚持“以公开为常态，不公开为例外”原则，紧紧围绕全市经济社会发展和群众关切，以及疫情防控相关动态，不断深化政府信息公开工作，加大信息主动公开力度，增强公开实效，规范政府信息依申请公开，积极推进全市政务公开和政府信息公开工作再上台阶。</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（一）聚焦中心工作，狠抓贯彻落实。</w:t>
      </w:r>
      <w:r>
        <w:rPr>
          <w:rFonts w:hint="eastAsia" w:ascii="仿宋" w:hAnsi="仿宋" w:eastAsia="仿宋"/>
          <w:sz w:val="32"/>
          <w:szCs w:val="32"/>
        </w:rPr>
        <w:t>切实履行公开职责，突出重点领域，进一步推动各类主动公开内容落实落靠，不断加大疫情防控、民生福祉、经济发展、社会保障等一系列市本级规范性文件、市政府办公室文件及其执行和落实情况的公开力度，全年主动公开以</w:t>
      </w:r>
      <w:r>
        <w:rPr>
          <w:rFonts w:hint="eastAsia" w:ascii="仿宋" w:hAnsi="仿宋" w:eastAsia="仿宋"/>
          <w:sz w:val="32"/>
          <w:szCs w:val="32"/>
          <w:lang w:eastAsia="zh-CN"/>
        </w:rPr>
        <w:t>市政府和</w:t>
      </w:r>
      <w:r>
        <w:rPr>
          <w:rFonts w:hint="eastAsia" w:ascii="仿宋" w:hAnsi="仿宋" w:eastAsia="仿宋"/>
          <w:sz w:val="32"/>
          <w:szCs w:val="32"/>
        </w:rPr>
        <w:t>市政府办公室名义制发的各类文件</w:t>
      </w:r>
      <w:r>
        <w:rPr>
          <w:rFonts w:hint="eastAsia" w:ascii="仿宋" w:hAnsi="仿宋" w:eastAsia="仿宋"/>
          <w:sz w:val="32"/>
          <w:szCs w:val="32"/>
          <w:lang w:val="en-US" w:eastAsia="zh-CN"/>
        </w:rPr>
        <w:t>25</w:t>
      </w:r>
      <w:r>
        <w:rPr>
          <w:rFonts w:hint="eastAsia" w:ascii="仿宋" w:hAnsi="仿宋" w:eastAsia="仿宋"/>
          <w:sz w:val="32"/>
          <w:szCs w:val="32"/>
        </w:rPr>
        <w:t>件。制作《牡丹江市人民政府公报》6期，每期印发200份，并按要求定期通过市政府网站、市图书馆、市档案馆等向社会大众主动公开。</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（二）提升公开水平，加大政策解读。</w:t>
      </w:r>
      <w:r>
        <w:rPr>
          <w:rFonts w:hint="eastAsia" w:ascii="仿宋" w:hAnsi="仿宋" w:eastAsia="仿宋"/>
          <w:sz w:val="32"/>
          <w:szCs w:val="32"/>
        </w:rPr>
        <w:t>通过图片解读、文字解读等多种方式展开解读，做到图文并茂、有问有答，让政策以人民看的懂的方式施行。共对《牡丹江市关于应对新型冠状病毒感染的肺炎疫情支持中小企业健康发展的政策意见》《牡丹江市政府投资建设项目审计办法》《关于推进养老服务发展的实施意见》《牡丹江市创业担保贷款实施办法（试行）》等</w:t>
      </w:r>
      <w:r>
        <w:rPr>
          <w:rFonts w:hint="eastAsia" w:ascii="仿宋" w:hAnsi="仿宋" w:eastAsia="仿宋"/>
          <w:sz w:val="32"/>
          <w:szCs w:val="32"/>
          <w:lang w:val="en-US" w:eastAsia="zh-CN"/>
        </w:rPr>
        <w:t>7</w:t>
      </w:r>
      <w:r>
        <w:rPr>
          <w:rFonts w:hint="eastAsia" w:ascii="仿宋" w:hAnsi="仿宋" w:eastAsia="仿宋"/>
          <w:sz w:val="32"/>
          <w:szCs w:val="32"/>
        </w:rPr>
        <w:t>个文件进行多形式解读。</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（三）健全体制机制，抓好公开审查。</w:t>
      </w:r>
      <w:r>
        <w:rPr>
          <w:rFonts w:hint="eastAsia" w:ascii="仿宋" w:hAnsi="仿宋" w:eastAsia="仿宋"/>
          <w:sz w:val="32"/>
          <w:szCs w:val="32"/>
        </w:rPr>
        <w:t>建立健全政府信息公开审查机制，进一步规范政府信息管理，将政府信息公开工作纳入市政府办公文日常办理过程，对提交市政府网站发布的主动公开文件进行二次审查，对相关政策解读的编写、格式和时效提出规范，强化信息内容的规范化、标准化管理，切实为公众获取信息提供便利，更加方便社会大众及时了解相关政策。</w:t>
      </w:r>
    </w:p>
    <w:p>
      <w:pPr>
        <w:ind w:firstLine="643" w:firstLineChars="200"/>
        <w:rPr>
          <w:rFonts w:ascii="仿宋" w:hAnsi="仿宋" w:eastAsia="仿宋"/>
          <w:sz w:val="32"/>
          <w:szCs w:val="32"/>
        </w:rPr>
      </w:pPr>
      <w:r>
        <w:rPr>
          <w:rFonts w:hint="eastAsia" w:ascii="楷体" w:hAnsi="楷体" w:eastAsia="楷体" w:cs="楷体"/>
          <w:b/>
          <w:bCs/>
          <w:sz w:val="32"/>
          <w:szCs w:val="32"/>
        </w:rPr>
        <w:t>（四）强化办理效能，依规处理申请。</w:t>
      </w:r>
      <w:r>
        <w:rPr>
          <w:rFonts w:hint="eastAsia" w:ascii="仿宋" w:hAnsi="仿宋" w:eastAsia="仿宋"/>
          <w:sz w:val="32"/>
          <w:szCs w:val="32"/>
        </w:rPr>
        <w:t>严格按照《条例》规定，依法及时妥善处理政府信息公开申请。审慎对待每份申请，详细梳理申请内容，主动了解申请人诉求，及时研究办理，依法答复申请人的政府信息公开申请。2020年，共受理向牡丹江市人民政府及牡丹江市人民政府办公室提出的各类政府信息公开申请20件，全部按时限办结。本年度，市政府办政府信息依申请公开件受理率和法定期限内答复率均达到100%。</w:t>
      </w: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二、主动公开政府信息情况</w:t>
      </w:r>
    </w:p>
    <w:tbl>
      <w:tblPr>
        <w:tblStyle w:val="2"/>
        <w:tblW w:w="5000" w:type="pct"/>
        <w:tblInd w:w="0" w:type="dxa"/>
        <w:tblLayout w:type="autofit"/>
        <w:tblCellMar>
          <w:top w:w="0" w:type="dxa"/>
          <w:left w:w="108" w:type="dxa"/>
          <w:bottom w:w="0" w:type="dxa"/>
          <w:right w:w="108" w:type="dxa"/>
        </w:tblCellMar>
      </w:tblPr>
      <w:tblGrid>
        <w:gridCol w:w="2161"/>
        <w:gridCol w:w="2161"/>
        <w:gridCol w:w="2020"/>
        <w:gridCol w:w="2180"/>
      </w:tblGrid>
      <w:tr>
        <w:tblPrEx>
          <w:tblCellMar>
            <w:top w:w="0" w:type="dxa"/>
            <w:left w:w="108" w:type="dxa"/>
            <w:bottom w:w="0" w:type="dxa"/>
            <w:right w:w="108" w:type="dxa"/>
          </w:tblCellMar>
        </w:tblPrEx>
        <w:trPr>
          <w:trHeight w:val="30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C6D9F1"/>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第二十条第（一）项</w:t>
            </w:r>
          </w:p>
        </w:tc>
      </w:tr>
      <w:tr>
        <w:tblPrEx>
          <w:tblCellMar>
            <w:top w:w="0" w:type="dxa"/>
            <w:left w:w="108" w:type="dxa"/>
            <w:bottom w:w="0" w:type="dxa"/>
            <w:right w:w="108" w:type="dxa"/>
          </w:tblCellMar>
        </w:tblPrEx>
        <w:trPr>
          <w:trHeight w:val="285"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信息内容</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本年新制作数量</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本年新公开数量</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对外公开总数量</w:t>
            </w:r>
          </w:p>
        </w:tc>
      </w:tr>
      <w:tr>
        <w:tblPrEx>
          <w:tblCellMar>
            <w:top w:w="0" w:type="dxa"/>
            <w:left w:w="108" w:type="dxa"/>
            <w:bottom w:w="0" w:type="dxa"/>
            <w:right w:w="108" w:type="dxa"/>
          </w:tblCellMar>
        </w:tblPrEx>
        <w:trPr>
          <w:trHeight w:val="30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规章</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r>
      <w:tr>
        <w:tblPrEx>
          <w:tblCellMar>
            <w:top w:w="0" w:type="dxa"/>
            <w:left w:w="108" w:type="dxa"/>
            <w:bottom w:w="0" w:type="dxa"/>
            <w:right w:w="108" w:type="dxa"/>
          </w:tblCellMar>
        </w:tblPrEx>
        <w:trPr>
          <w:trHeight w:val="285"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规范性文件</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108</w:t>
            </w:r>
          </w:p>
        </w:tc>
      </w:tr>
      <w:tr>
        <w:tblPrEx>
          <w:tblCellMar>
            <w:top w:w="0" w:type="dxa"/>
            <w:left w:w="108" w:type="dxa"/>
            <w:bottom w:w="0" w:type="dxa"/>
            <w:right w:w="108" w:type="dxa"/>
          </w:tblCellMar>
        </w:tblPrEx>
        <w:trPr>
          <w:trHeight w:val="30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C6D9F1"/>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第二十条第（五）项</w:t>
            </w:r>
          </w:p>
        </w:tc>
      </w:tr>
      <w:tr>
        <w:tblPrEx>
          <w:tblCellMar>
            <w:top w:w="0" w:type="dxa"/>
            <w:left w:w="108" w:type="dxa"/>
            <w:bottom w:w="0" w:type="dxa"/>
            <w:right w:w="108" w:type="dxa"/>
          </w:tblCellMar>
        </w:tblPrEx>
        <w:trPr>
          <w:trHeight w:val="315"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信息内容</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上一年项目数量</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本年增</w:t>
            </w:r>
            <w:r>
              <w:rPr>
                <w:rFonts w:hint="eastAsia" w:ascii="仿宋" w:hAnsi="仿宋" w:eastAsia="仿宋" w:cs="宋体"/>
                <w:color w:val="000000"/>
                <w:kern w:val="0"/>
                <w:sz w:val="17"/>
                <w:szCs w:val="17"/>
              </w:rPr>
              <w:t>/</w:t>
            </w:r>
            <w:r>
              <w:rPr>
                <w:rFonts w:hint="eastAsia" w:ascii="仿宋" w:hAnsi="仿宋" w:eastAsia="仿宋" w:cs="宋体"/>
                <w:color w:val="000000"/>
                <w:kern w:val="0"/>
                <w:sz w:val="24"/>
                <w:szCs w:val="24"/>
              </w:rPr>
              <w:t>减</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处理决定数量</w:t>
            </w:r>
          </w:p>
        </w:tc>
      </w:tr>
      <w:tr>
        <w:tblPrEx>
          <w:tblCellMar>
            <w:top w:w="0" w:type="dxa"/>
            <w:left w:w="108" w:type="dxa"/>
            <w:bottom w:w="0" w:type="dxa"/>
            <w:right w:w="108" w:type="dxa"/>
          </w:tblCellMar>
        </w:tblPrEx>
        <w:trPr>
          <w:trHeight w:val="285"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行政许可</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57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其他对外管理服务事项</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r>
      <w:tr>
        <w:tblPrEx>
          <w:tblCellMar>
            <w:top w:w="0" w:type="dxa"/>
            <w:left w:w="108" w:type="dxa"/>
            <w:bottom w:w="0" w:type="dxa"/>
            <w:right w:w="108" w:type="dxa"/>
          </w:tblCellMar>
        </w:tblPrEx>
        <w:trPr>
          <w:trHeight w:val="30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C6D9F1"/>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第二十条第（六）项</w:t>
            </w:r>
          </w:p>
        </w:tc>
      </w:tr>
      <w:tr>
        <w:tblPrEx>
          <w:tblCellMar>
            <w:top w:w="0" w:type="dxa"/>
            <w:left w:w="108" w:type="dxa"/>
            <w:bottom w:w="0" w:type="dxa"/>
            <w:right w:w="108" w:type="dxa"/>
          </w:tblCellMar>
        </w:tblPrEx>
        <w:trPr>
          <w:trHeight w:val="315"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信息内容</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上一年项目数量</w:t>
            </w:r>
          </w:p>
        </w:tc>
        <w:tc>
          <w:tcPr>
            <w:tcW w:w="1185"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本年增</w:t>
            </w:r>
            <w:r>
              <w:rPr>
                <w:rFonts w:hint="eastAsia" w:ascii="仿宋" w:hAnsi="仿宋" w:eastAsia="仿宋" w:cs="宋体"/>
                <w:color w:val="000000"/>
                <w:kern w:val="0"/>
                <w:sz w:val="17"/>
                <w:szCs w:val="17"/>
              </w:rPr>
              <w:t>/</w:t>
            </w:r>
            <w:r>
              <w:rPr>
                <w:rFonts w:hint="eastAsia" w:ascii="仿宋" w:hAnsi="仿宋" w:eastAsia="仿宋" w:cs="宋体"/>
                <w:color w:val="000000"/>
                <w:kern w:val="0"/>
                <w:sz w:val="24"/>
                <w:szCs w:val="24"/>
              </w:rPr>
              <w:t>减</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处理决定数量</w:t>
            </w:r>
          </w:p>
        </w:tc>
      </w:tr>
      <w:tr>
        <w:tblPrEx>
          <w:tblCellMar>
            <w:top w:w="0" w:type="dxa"/>
            <w:left w:w="108" w:type="dxa"/>
            <w:bottom w:w="0" w:type="dxa"/>
            <w:right w:w="108" w:type="dxa"/>
          </w:tblCellMar>
        </w:tblPrEx>
        <w:trPr>
          <w:trHeight w:val="30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行政处罚</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185"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r>
      <w:tr>
        <w:tblPrEx>
          <w:tblCellMar>
            <w:top w:w="0" w:type="dxa"/>
            <w:left w:w="108" w:type="dxa"/>
            <w:bottom w:w="0" w:type="dxa"/>
            <w:right w:w="108" w:type="dxa"/>
          </w:tblCellMar>
        </w:tblPrEx>
        <w:trPr>
          <w:trHeight w:val="30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行政强制</w:t>
            </w:r>
          </w:p>
        </w:tc>
        <w:tc>
          <w:tcPr>
            <w:tcW w:w="1268"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185"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r>
      <w:tr>
        <w:tblPrEx>
          <w:tblCellMar>
            <w:top w:w="0" w:type="dxa"/>
            <w:left w:w="108" w:type="dxa"/>
            <w:bottom w:w="0" w:type="dxa"/>
            <w:right w:w="108" w:type="dxa"/>
          </w:tblCellMar>
        </w:tblPrEx>
        <w:trPr>
          <w:trHeight w:val="30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C6D9F1"/>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第二十条第（八）项</w:t>
            </w:r>
          </w:p>
        </w:tc>
      </w:tr>
      <w:tr>
        <w:tblPrEx>
          <w:tblCellMar>
            <w:top w:w="0" w:type="dxa"/>
            <w:left w:w="108" w:type="dxa"/>
            <w:bottom w:w="0" w:type="dxa"/>
            <w:right w:w="108" w:type="dxa"/>
          </w:tblCellMar>
        </w:tblPrEx>
        <w:trPr>
          <w:trHeight w:val="33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信息内容</w:t>
            </w:r>
          </w:p>
        </w:tc>
        <w:tc>
          <w:tcPr>
            <w:tcW w:w="2453" w:type="pct"/>
            <w:gridSpan w:val="2"/>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上一年项目数量</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本年增</w:t>
            </w:r>
            <w:r>
              <w:rPr>
                <w:rFonts w:hint="eastAsia" w:ascii="仿宋" w:hAnsi="仿宋" w:eastAsia="仿宋" w:cs="宋体"/>
                <w:color w:val="000000"/>
                <w:kern w:val="0"/>
                <w:sz w:val="17"/>
                <w:szCs w:val="17"/>
              </w:rPr>
              <w:t>/</w:t>
            </w:r>
            <w:r>
              <w:rPr>
                <w:rFonts w:hint="eastAsia" w:ascii="仿宋" w:hAnsi="仿宋" w:eastAsia="仿宋" w:cs="宋体"/>
                <w:color w:val="000000"/>
                <w:kern w:val="0"/>
                <w:sz w:val="24"/>
                <w:szCs w:val="24"/>
              </w:rPr>
              <w:t>减</w:t>
            </w:r>
          </w:p>
        </w:tc>
      </w:tr>
      <w:tr>
        <w:tblPrEx>
          <w:tblCellMar>
            <w:top w:w="0" w:type="dxa"/>
            <w:left w:w="108" w:type="dxa"/>
            <w:bottom w:w="0" w:type="dxa"/>
            <w:right w:w="108" w:type="dxa"/>
          </w:tblCellMar>
        </w:tblPrEx>
        <w:trPr>
          <w:trHeight w:val="30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行政事业性收费</w:t>
            </w:r>
          </w:p>
        </w:tc>
        <w:tc>
          <w:tcPr>
            <w:tcW w:w="2453" w:type="pct"/>
            <w:gridSpan w:val="2"/>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r>
      <w:tr>
        <w:tblPrEx>
          <w:tblCellMar>
            <w:top w:w="0" w:type="dxa"/>
            <w:left w:w="108" w:type="dxa"/>
            <w:bottom w:w="0" w:type="dxa"/>
            <w:right w:w="108" w:type="dxa"/>
          </w:tblCellMar>
        </w:tblPrEx>
        <w:trPr>
          <w:trHeight w:val="300" w:hRule="atLeast"/>
        </w:trPr>
        <w:tc>
          <w:tcPr>
            <w:tcW w:w="5000" w:type="pct"/>
            <w:gridSpan w:val="4"/>
            <w:tcBorders>
              <w:top w:val="single" w:color="auto" w:sz="4" w:space="0"/>
              <w:left w:val="single" w:color="auto" w:sz="4" w:space="0"/>
              <w:bottom w:val="single" w:color="auto" w:sz="4" w:space="0"/>
              <w:right w:val="single" w:color="000000" w:sz="4" w:space="0"/>
            </w:tcBorders>
            <w:shd w:val="clear" w:color="000000" w:fill="C6D9F1"/>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第二十条第（九）项</w:t>
            </w:r>
          </w:p>
        </w:tc>
      </w:tr>
      <w:tr>
        <w:tblPrEx>
          <w:tblCellMar>
            <w:top w:w="0" w:type="dxa"/>
            <w:left w:w="108" w:type="dxa"/>
            <w:bottom w:w="0" w:type="dxa"/>
            <w:right w:w="108" w:type="dxa"/>
          </w:tblCellMar>
        </w:tblPrEx>
        <w:trPr>
          <w:trHeight w:val="30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信息内容</w:t>
            </w:r>
          </w:p>
        </w:tc>
        <w:tc>
          <w:tcPr>
            <w:tcW w:w="2453" w:type="pct"/>
            <w:gridSpan w:val="2"/>
            <w:tcBorders>
              <w:top w:val="single" w:color="auto" w:sz="4" w:space="0"/>
              <w:left w:val="nil"/>
              <w:bottom w:val="single" w:color="auto" w:sz="4" w:space="0"/>
              <w:right w:val="single" w:color="000000"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采购项目数量</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采购总金额</w:t>
            </w:r>
          </w:p>
        </w:tc>
      </w:tr>
      <w:tr>
        <w:tblPrEx>
          <w:tblCellMar>
            <w:top w:w="0" w:type="dxa"/>
            <w:left w:w="108" w:type="dxa"/>
            <w:bottom w:w="0" w:type="dxa"/>
            <w:right w:w="108" w:type="dxa"/>
          </w:tblCellMar>
        </w:tblPrEx>
        <w:trPr>
          <w:trHeight w:val="300" w:hRule="atLeast"/>
        </w:trPr>
        <w:tc>
          <w:tcPr>
            <w:tcW w:w="1268" w:type="pct"/>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政府集中采购</w:t>
            </w:r>
          </w:p>
        </w:tc>
        <w:tc>
          <w:tcPr>
            <w:tcW w:w="2453" w:type="pct"/>
            <w:gridSpan w:val="2"/>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c>
          <w:tcPr>
            <w:tcW w:w="1279" w:type="pct"/>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w:t>
            </w:r>
          </w:p>
        </w:tc>
      </w:tr>
    </w:tbl>
    <w:p>
      <w:pPr>
        <w:rPr>
          <w:rFonts w:hint="eastAsia"/>
        </w:rPr>
      </w:pPr>
    </w:p>
    <w:p>
      <w:pPr>
        <w:rPr>
          <w:rFonts w:hint="eastAsia"/>
        </w:rPr>
      </w:pPr>
    </w:p>
    <w:p>
      <w:pPr>
        <w:rPr>
          <w:rFonts w:hint="eastAsia"/>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三、收到和处理政府信息公开申请情况</w:t>
      </w:r>
    </w:p>
    <w:tbl>
      <w:tblPr>
        <w:tblStyle w:val="2"/>
        <w:tblW w:w="5000" w:type="pct"/>
        <w:tblInd w:w="0" w:type="dxa"/>
        <w:tblLayout w:type="autofit"/>
        <w:tblCellMar>
          <w:top w:w="0" w:type="dxa"/>
          <w:left w:w="108" w:type="dxa"/>
          <w:bottom w:w="0" w:type="dxa"/>
          <w:right w:w="108" w:type="dxa"/>
        </w:tblCellMar>
      </w:tblPr>
      <w:tblGrid>
        <w:gridCol w:w="656"/>
        <w:gridCol w:w="879"/>
        <w:gridCol w:w="2520"/>
        <w:gridCol w:w="436"/>
        <w:gridCol w:w="543"/>
        <w:gridCol w:w="554"/>
        <w:gridCol w:w="972"/>
        <w:gridCol w:w="972"/>
        <w:gridCol w:w="554"/>
        <w:gridCol w:w="436"/>
      </w:tblGrid>
      <w:tr>
        <w:tblPrEx>
          <w:tblCellMar>
            <w:top w:w="0" w:type="dxa"/>
            <w:left w:w="108" w:type="dxa"/>
            <w:bottom w:w="0" w:type="dxa"/>
            <w:right w:w="108" w:type="dxa"/>
          </w:tblCellMar>
        </w:tblPrEx>
        <w:trPr>
          <w:trHeight w:val="270" w:hRule="atLeast"/>
        </w:trPr>
        <w:tc>
          <w:tcPr>
            <w:tcW w:w="2379" w:type="pct"/>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（本列数据的勾稽关系为：第一项加第二项之和，等于第三项加第四项之和）</w:t>
            </w:r>
          </w:p>
        </w:tc>
        <w:tc>
          <w:tcPr>
            <w:tcW w:w="2621" w:type="pct"/>
            <w:gridSpan w:val="7"/>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申请人情况</w:t>
            </w:r>
          </w:p>
        </w:tc>
      </w:tr>
      <w:tr>
        <w:tblPrEx>
          <w:tblCellMar>
            <w:top w:w="0" w:type="dxa"/>
            <w:left w:w="108" w:type="dxa"/>
            <w:bottom w:w="0" w:type="dxa"/>
            <w:right w:w="108" w:type="dxa"/>
          </w:tblCellMar>
        </w:tblPrEx>
        <w:trPr>
          <w:trHeight w:val="270" w:hRule="atLeast"/>
        </w:trPr>
        <w:tc>
          <w:tcPr>
            <w:tcW w:w="2379" w:type="pct"/>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restart"/>
            <w:tcBorders>
              <w:top w:val="nil"/>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自</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然</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人</w:t>
            </w:r>
          </w:p>
        </w:tc>
        <w:tc>
          <w:tcPr>
            <w:tcW w:w="2119" w:type="pct"/>
            <w:gridSpan w:val="5"/>
            <w:tcBorders>
              <w:top w:val="single" w:color="auto" w:sz="4" w:space="0"/>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法人或其他组织</w:t>
            </w:r>
          </w:p>
        </w:tc>
        <w:tc>
          <w:tcPr>
            <w:tcW w:w="251"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总</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计</w:t>
            </w:r>
          </w:p>
        </w:tc>
      </w:tr>
      <w:tr>
        <w:tblPrEx>
          <w:tblCellMar>
            <w:top w:w="0" w:type="dxa"/>
            <w:left w:w="108" w:type="dxa"/>
            <w:bottom w:w="0" w:type="dxa"/>
            <w:right w:w="108" w:type="dxa"/>
          </w:tblCellMar>
        </w:tblPrEx>
        <w:trPr>
          <w:trHeight w:val="312" w:hRule="atLeast"/>
        </w:trPr>
        <w:tc>
          <w:tcPr>
            <w:tcW w:w="2379" w:type="pct"/>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1"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商业</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企业</w:t>
            </w:r>
          </w:p>
        </w:tc>
        <w:tc>
          <w:tcPr>
            <w:tcW w:w="32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科研</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机构</w:t>
            </w:r>
          </w:p>
        </w:tc>
        <w:tc>
          <w:tcPr>
            <w:tcW w:w="5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社会公</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益组织</w:t>
            </w:r>
          </w:p>
        </w:tc>
        <w:tc>
          <w:tcPr>
            <w:tcW w:w="5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xml:space="preserve"> 法律服</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务机构</w:t>
            </w:r>
          </w:p>
        </w:tc>
        <w:tc>
          <w:tcPr>
            <w:tcW w:w="327" w:type="pct"/>
            <w:vMerge w:val="restart"/>
            <w:tcBorders>
              <w:top w:val="nil"/>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其</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他</w:t>
            </w: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312" w:hRule="atLeast"/>
        </w:trPr>
        <w:tc>
          <w:tcPr>
            <w:tcW w:w="2379" w:type="pct"/>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7"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72"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72"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7"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312" w:hRule="atLeast"/>
        </w:trPr>
        <w:tc>
          <w:tcPr>
            <w:tcW w:w="2379" w:type="pct"/>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7"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72"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72"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7"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312" w:hRule="atLeast"/>
        </w:trPr>
        <w:tc>
          <w:tcPr>
            <w:tcW w:w="2379" w:type="pct"/>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7"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72"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72"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27"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51"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270" w:hRule="atLeast"/>
        </w:trPr>
        <w:tc>
          <w:tcPr>
            <w:tcW w:w="2379" w:type="pct"/>
            <w:gridSpan w:val="3"/>
            <w:tcBorders>
              <w:top w:val="single" w:color="auto" w:sz="4" w:space="0"/>
              <w:left w:val="single" w:color="auto" w:sz="4" w:space="0"/>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一、本年新收政府信息公开申请数量</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17</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20</w:t>
            </w:r>
          </w:p>
        </w:tc>
      </w:tr>
      <w:tr>
        <w:tblPrEx>
          <w:tblCellMar>
            <w:top w:w="0" w:type="dxa"/>
            <w:left w:w="108" w:type="dxa"/>
            <w:bottom w:w="0" w:type="dxa"/>
            <w:right w:w="108" w:type="dxa"/>
          </w:tblCellMar>
        </w:tblPrEx>
        <w:trPr>
          <w:trHeight w:val="270" w:hRule="atLeast"/>
        </w:trPr>
        <w:tc>
          <w:tcPr>
            <w:tcW w:w="2379" w:type="pct"/>
            <w:gridSpan w:val="3"/>
            <w:tcBorders>
              <w:top w:val="single" w:color="auto" w:sz="4" w:space="0"/>
              <w:left w:val="single" w:color="auto" w:sz="4" w:space="0"/>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二、上年结转政府信息公开申请数量</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r>
      <w:tr>
        <w:tblPrEx>
          <w:tblCellMar>
            <w:top w:w="0" w:type="dxa"/>
            <w:left w:w="108" w:type="dxa"/>
            <w:bottom w:w="0" w:type="dxa"/>
            <w:right w:w="108" w:type="dxa"/>
          </w:tblCellMar>
        </w:tblPrEx>
        <w:trPr>
          <w:trHeight w:val="270" w:hRule="atLeast"/>
        </w:trPr>
        <w:tc>
          <w:tcPr>
            <w:tcW w:w="38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三、</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本年</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度办</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理结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p>
        </w:tc>
        <w:tc>
          <w:tcPr>
            <w:tcW w:w="1999" w:type="pct"/>
            <w:gridSpan w:val="2"/>
            <w:tcBorders>
              <w:top w:val="single" w:color="auto" w:sz="4" w:space="0"/>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（一）予以公开</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6</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8</w:t>
            </w:r>
          </w:p>
        </w:tc>
      </w:tr>
      <w:tr>
        <w:tblPrEx>
          <w:tblCellMar>
            <w:top w:w="0" w:type="dxa"/>
            <w:left w:w="108" w:type="dxa"/>
            <w:bottom w:w="0" w:type="dxa"/>
            <w:right w:w="108" w:type="dxa"/>
          </w:tblCellMar>
        </w:tblPrEx>
        <w:trPr>
          <w:trHeight w:val="270"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999" w:type="pct"/>
            <w:gridSpan w:val="2"/>
            <w:tcBorders>
              <w:top w:val="single" w:color="auto" w:sz="4" w:space="0"/>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（二）部分公开（区分处理的，只计这一情形，不计其他情形）</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6</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6</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（三）</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不予</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公开</w:t>
            </w: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1.属于国家秘密</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70"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2.其他法律行政法规禁止公开</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70"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3.危及“三安全一稳定”</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70"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4.保护第三方合法权益</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70"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5.属于三类内部事务信息</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6.属于四类过程性信息</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7.属于行政执法案卷</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8.属于行政查询事项</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restart"/>
            <w:tcBorders>
              <w:top w:val="nil"/>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（四）</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无法</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提供</w:t>
            </w: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1.本机关不掌握相关政府信息</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2.没有现成信息需要另行制作</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3.补正后申请内容仍不明确</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restart"/>
            <w:tcBorders>
              <w:top w:val="nil"/>
              <w:left w:val="single" w:color="auto" w:sz="4" w:space="0"/>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（五）</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不予</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处理</w:t>
            </w: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1.信访举报投诉类申请</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2.重复申请</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3.要求提供公开出版物</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4.无正当理由大量反复申请</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540"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518"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480" w:type="pct"/>
            <w:tcBorders>
              <w:top w:val="nil"/>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5.要求行政机关确认或重新出具已获取信息</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999" w:type="pct"/>
            <w:gridSpan w:val="2"/>
            <w:tcBorders>
              <w:top w:val="single" w:color="auto" w:sz="4" w:space="0"/>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（六）其他处理</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r>
      <w:tr>
        <w:tblPrEx>
          <w:tblCellMar>
            <w:top w:w="0" w:type="dxa"/>
            <w:left w:w="108" w:type="dxa"/>
            <w:bottom w:w="0" w:type="dxa"/>
            <w:right w:w="108" w:type="dxa"/>
          </w:tblCellMar>
        </w:tblPrEx>
        <w:trPr>
          <w:trHeight w:val="285" w:hRule="atLeast"/>
        </w:trPr>
        <w:tc>
          <w:tcPr>
            <w:tcW w:w="380"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1999" w:type="pct"/>
            <w:gridSpan w:val="2"/>
            <w:tcBorders>
              <w:top w:val="single" w:color="auto" w:sz="4" w:space="0"/>
              <w:left w:val="nil"/>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（七）总计</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17</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20</w:t>
            </w:r>
          </w:p>
        </w:tc>
      </w:tr>
      <w:tr>
        <w:tblPrEx>
          <w:tblCellMar>
            <w:top w:w="0" w:type="dxa"/>
            <w:left w:w="108" w:type="dxa"/>
            <w:bottom w:w="0" w:type="dxa"/>
            <w:right w:w="108" w:type="dxa"/>
          </w:tblCellMar>
        </w:tblPrEx>
        <w:trPr>
          <w:trHeight w:val="270" w:hRule="atLeast"/>
        </w:trPr>
        <w:tc>
          <w:tcPr>
            <w:tcW w:w="2379" w:type="pct"/>
            <w:gridSpan w:val="3"/>
            <w:tcBorders>
              <w:top w:val="single" w:color="auto" w:sz="4" w:space="0"/>
              <w:left w:val="single" w:color="auto" w:sz="4" w:space="0"/>
              <w:bottom w:val="single" w:color="auto" w:sz="4" w:space="0"/>
              <w:right w:val="single" w:color="auto" w:sz="4" w:space="0"/>
            </w:tcBorders>
            <w:shd w:val="clear" w:color="auto" w:fill="auto"/>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四、结转下年度继续办理</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2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572"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27"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251" w:type="pct"/>
            <w:tcBorders>
              <w:top w:val="nil"/>
              <w:left w:val="nil"/>
              <w:bottom w:val="single" w:color="auto" w:sz="4" w:space="0"/>
              <w:right w:val="single" w:color="auto" w:sz="4" w:space="0"/>
            </w:tcBorders>
            <w:shd w:val="clear" w:color="auto" w:fill="auto"/>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r>
    </w:tbl>
    <w:p>
      <w:pPr>
        <w:ind w:firstLine="643" w:firstLineChars="200"/>
        <w:rPr>
          <w:rFonts w:hint="eastAsia" w:ascii="仿宋" w:hAnsi="仿宋" w:eastAsia="仿宋"/>
          <w:b/>
          <w:sz w:val="32"/>
          <w:szCs w:val="32"/>
        </w:rPr>
      </w:pPr>
    </w:p>
    <w:p>
      <w:pPr>
        <w:ind w:firstLine="643" w:firstLineChars="200"/>
        <w:rPr>
          <w:rFonts w:hint="eastAsia" w:ascii="仿宋" w:hAnsi="仿宋" w:eastAsia="仿宋"/>
          <w:b/>
          <w:sz w:val="32"/>
          <w:szCs w:val="32"/>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四、政府信息公开行政复议、行政诉讼情况</w:t>
      </w:r>
    </w:p>
    <w:tbl>
      <w:tblPr>
        <w:tblStyle w:val="2"/>
        <w:tblW w:w="5000" w:type="pct"/>
        <w:tblInd w:w="0" w:type="dxa"/>
        <w:tblLayout w:type="autofit"/>
        <w:tblCellMar>
          <w:top w:w="0" w:type="dxa"/>
          <w:left w:w="108" w:type="dxa"/>
          <w:bottom w:w="0" w:type="dxa"/>
          <w:right w:w="108" w:type="dxa"/>
        </w:tblCellMar>
      </w:tblPr>
      <w:tblGrid>
        <w:gridCol w:w="567"/>
        <w:gridCol w:w="567"/>
        <w:gridCol w:w="567"/>
        <w:gridCol w:w="567"/>
        <w:gridCol w:w="568"/>
        <w:gridCol w:w="568"/>
        <w:gridCol w:w="568"/>
        <w:gridCol w:w="568"/>
        <w:gridCol w:w="568"/>
        <w:gridCol w:w="573"/>
        <w:gridCol w:w="568"/>
        <w:gridCol w:w="568"/>
        <w:gridCol w:w="568"/>
        <w:gridCol w:w="568"/>
        <w:gridCol w:w="569"/>
      </w:tblGrid>
      <w:tr>
        <w:tblPrEx>
          <w:tblCellMar>
            <w:top w:w="0" w:type="dxa"/>
            <w:left w:w="108" w:type="dxa"/>
            <w:bottom w:w="0" w:type="dxa"/>
            <w:right w:w="108" w:type="dxa"/>
          </w:tblCellMar>
        </w:tblPrEx>
        <w:trPr>
          <w:trHeight w:val="270" w:hRule="atLeast"/>
        </w:trPr>
        <w:tc>
          <w:tcPr>
            <w:tcW w:w="1665"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行政复议</w:t>
            </w:r>
          </w:p>
        </w:tc>
        <w:tc>
          <w:tcPr>
            <w:tcW w:w="3335" w:type="pct"/>
            <w:gridSpan w:val="10"/>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行政诉讼</w:t>
            </w:r>
          </w:p>
        </w:tc>
      </w:tr>
      <w:tr>
        <w:tblPrEx>
          <w:tblCellMar>
            <w:top w:w="0" w:type="dxa"/>
            <w:left w:w="108" w:type="dxa"/>
            <w:bottom w:w="0" w:type="dxa"/>
            <w:right w:w="108" w:type="dxa"/>
          </w:tblCellMar>
        </w:tblPrEx>
        <w:trPr>
          <w:trHeight w:val="270" w:hRule="atLeast"/>
        </w:trPr>
        <w:tc>
          <w:tcPr>
            <w:tcW w:w="333"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维</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持</w:t>
            </w:r>
          </w:p>
        </w:tc>
        <w:tc>
          <w:tcPr>
            <w:tcW w:w="333"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纠</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正</w:t>
            </w:r>
          </w:p>
        </w:tc>
        <w:tc>
          <w:tcPr>
            <w:tcW w:w="333"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其</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他</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p>
        </w:tc>
        <w:tc>
          <w:tcPr>
            <w:tcW w:w="333"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尚</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未</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审</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结</w:t>
            </w:r>
          </w:p>
        </w:tc>
        <w:tc>
          <w:tcPr>
            <w:tcW w:w="334"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总</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计</w:t>
            </w:r>
          </w:p>
        </w:tc>
        <w:tc>
          <w:tcPr>
            <w:tcW w:w="1668" w:type="pct"/>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未经复议直接起诉</w:t>
            </w:r>
          </w:p>
        </w:tc>
        <w:tc>
          <w:tcPr>
            <w:tcW w:w="1667" w:type="pct"/>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复议后起诉</w:t>
            </w:r>
          </w:p>
        </w:tc>
      </w:tr>
      <w:tr>
        <w:tblPrEx>
          <w:tblCellMar>
            <w:top w:w="0" w:type="dxa"/>
            <w:left w:w="108" w:type="dxa"/>
            <w:bottom w:w="0" w:type="dxa"/>
            <w:right w:w="108" w:type="dxa"/>
          </w:tblCellMar>
        </w:tblPrEx>
        <w:trPr>
          <w:trHeight w:val="1080" w:hRule="atLeast"/>
        </w:trPr>
        <w:tc>
          <w:tcPr>
            <w:tcW w:w="333"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33"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33"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33"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34" w:type="pct"/>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维</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持</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纠</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正</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其</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他</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尚</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未</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审</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结</w:t>
            </w:r>
          </w:p>
        </w:tc>
        <w:tc>
          <w:tcPr>
            <w:tcW w:w="335"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总</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计</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维</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持</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纠</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正</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其</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他</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结</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果</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尚</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未</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审</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结</w:t>
            </w:r>
          </w:p>
        </w:tc>
        <w:tc>
          <w:tcPr>
            <w:tcW w:w="334"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总</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计</w:t>
            </w:r>
          </w:p>
        </w:tc>
      </w:tr>
      <w:tr>
        <w:tblPrEx>
          <w:tblCellMar>
            <w:top w:w="0" w:type="dxa"/>
            <w:left w:w="108" w:type="dxa"/>
            <w:bottom w:w="0" w:type="dxa"/>
            <w:right w:w="108" w:type="dxa"/>
          </w:tblCellMar>
        </w:tblPrEx>
        <w:trPr>
          <w:trHeight w:val="270" w:hRule="atLeast"/>
        </w:trPr>
        <w:tc>
          <w:tcPr>
            <w:tcW w:w="33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34"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5"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3"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c>
          <w:tcPr>
            <w:tcW w:w="334" w:type="pct"/>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0</w:t>
            </w:r>
          </w:p>
        </w:tc>
      </w:tr>
    </w:tbl>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五、存在的主要问题及改进措施</w:t>
      </w:r>
    </w:p>
    <w:p>
      <w:pPr>
        <w:ind w:firstLine="643" w:firstLineChars="200"/>
        <w:rPr>
          <w:rFonts w:hint="eastAsia" w:ascii="仿宋" w:hAnsi="仿宋" w:eastAsia="仿宋"/>
          <w:sz w:val="32"/>
          <w:szCs w:val="32"/>
        </w:rPr>
      </w:pPr>
      <w:r>
        <w:rPr>
          <w:rFonts w:hint="eastAsia" w:ascii="楷体" w:hAnsi="楷体" w:eastAsia="楷体" w:cs="楷体"/>
          <w:b/>
          <w:bCs/>
          <w:sz w:val="32"/>
          <w:szCs w:val="32"/>
        </w:rPr>
        <w:t>存在的主要问题：</w:t>
      </w:r>
      <w:r>
        <w:rPr>
          <w:rFonts w:hint="eastAsia" w:ascii="仿宋" w:hAnsi="仿宋" w:eastAsia="仿宋"/>
          <w:sz w:val="32"/>
          <w:szCs w:val="32"/>
        </w:rPr>
        <w:t>一是对政府信息公开属性的理解和把握存在偏差，需要进一步明确。二是政策解读回应能力尚有提高空间。三是政府信息公开工作干部队伍还有待强化。</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下一步，</w:t>
      </w:r>
      <w:r>
        <w:rPr>
          <w:rFonts w:hint="eastAsia" w:ascii="仿宋" w:hAnsi="仿宋" w:eastAsia="仿宋"/>
          <w:sz w:val="32"/>
          <w:szCs w:val="32"/>
        </w:rPr>
        <w:t>市政府办将严格按照《中华人民共和国</w:t>
      </w:r>
      <w:r>
        <w:rPr>
          <w:rFonts w:hint="eastAsia" w:ascii="仿宋" w:hAnsi="仿宋" w:eastAsia="仿宋"/>
          <w:sz w:val="32"/>
          <w:szCs w:val="32"/>
          <w:lang w:val="en-US" w:eastAsia="zh-CN"/>
        </w:rPr>
        <w:t>政府</w:t>
      </w:r>
      <w:r>
        <w:rPr>
          <w:rFonts w:hint="eastAsia" w:ascii="仿宋" w:hAnsi="仿宋" w:eastAsia="仿宋"/>
          <w:sz w:val="32"/>
          <w:szCs w:val="32"/>
        </w:rPr>
        <w:t>信息公开条例》要求和国家、省政务公开工作部署和要求，扎实推进各项公开工作全面深入。</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一是加大政府信息公开力度。</w:t>
      </w:r>
      <w:r>
        <w:rPr>
          <w:rFonts w:hint="eastAsia" w:ascii="仿宋" w:hAnsi="仿宋" w:eastAsia="仿宋"/>
          <w:sz w:val="32"/>
          <w:szCs w:val="32"/>
        </w:rPr>
        <w:t>充分利用好市政府门户网站、政务新媒体等主阵地、主渠道作用，持续深化重点领域信息公开，扩大政府信息公开的深度和广度，提高主动公开的时效性和准确性，围绕当下社会热点、群众关注重点问题逐渐增加政策类、解读类所占比重，及时、准确、规范按照要求把公众普遍关心、重点关注的信息予以公开，切实拓展主动公开的深度。</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二是完善政府信息公开工作机制。</w:t>
      </w:r>
      <w:r>
        <w:rPr>
          <w:rFonts w:hint="eastAsia" w:ascii="仿宋" w:hAnsi="仿宋" w:eastAsia="仿宋"/>
          <w:sz w:val="32"/>
          <w:szCs w:val="32"/>
        </w:rPr>
        <w:t>不断理顺信息公开范围、职责，健全政府信息公开相关制度，尤其是信息审查和发布机制及动态调整机制，积极完善和调整信息公开目录，确保政府办政府信息公开工作取得扎实成效。</w:t>
      </w:r>
    </w:p>
    <w:p>
      <w:pPr>
        <w:ind w:firstLine="643" w:firstLineChars="200"/>
        <w:rPr>
          <w:rFonts w:hint="eastAsia" w:ascii="仿宋" w:hAnsi="仿宋" w:eastAsia="仿宋"/>
          <w:sz w:val="32"/>
          <w:szCs w:val="32"/>
        </w:rPr>
      </w:pPr>
      <w:r>
        <w:rPr>
          <w:rFonts w:hint="eastAsia" w:ascii="楷体" w:hAnsi="楷体" w:eastAsia="楷体" w:cs="楷体"/>
          <w:b/>
          <w:bCs/>
          <w:sz w:val="32"/>
          <w:szCs w:val="32"/>
        </w:rPr>
        <w:t>三是加强市政府办公开工作队伍建设。</w:t>
      </w:r>
      <w:r>
        <w:rPr>
          <w:rFonts w:hint="eastAsia" w:ascii="仿宋" w:hAnsi="仿宋" w:eastAsia="仿宋"/>
          <w:sz w:val="32"/>
          <w:szCs w:val="32"/>
        </w:rPr>
        <w:t xml:space="preserve">加强对政府信息公开工作人员的教育培训和业务指导，组织开展相关政策法规、案例、业务操作等方面的学习培训，切实提升工作人员的专业能力和水平。 </w:t>
      </w: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六、其他需要报告的事项</w:t>
      </w:r>
    </w:p>
    <w:p>
      <w:pPr>
        <w:ind w:firstLine="640" w:firstLineChars="200"/>
        <w:rPr>
          <w:rFonts w:hint="eastAsia" w:ascii="仿宋" w:hAnsi="仿宋" w:eastAsia="仿宋"/>
          <w:sz w:val="32"/>
          <w:szCs w:val="32"/>
        </w:rPr>
      </w:pPr>
      <w:r>
        <w:rPr>
          <w:rFonts w:hint="eastAsia" w:ascii="仿宋" w:hAnsi="仿宋" w:eastAsia="仿宋"/>
          <w:sz w:val="32"/>
          <w:szCs w:val="32"/>
        </w:rPr>
        <w:t>无。</w:t>
      </w:r>
      <w:bookmarkStart w:id="0" w:name="_GoBack"/>
      <w:bookmarkEnd w:id="0"/>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sectPr>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0036563C"/>
    <w:rsid w:val="00062DBD"/>
    <w:rsid w:val="000A7D79"/>
    <w:rsid w:val="000B1DDF"/>
    <w:rsid w:val="00126865"/>
    <w:rsid w:val="00165AEE"/>
    <w:rsid w:val="00170D5B"/>
    <w:rsid w:val="00185F2E"/>
    <w:rsid w:val="001D1509"/>
    <w:rsid w:val="001F14B4"/>
    <w:rsid w:val="0022189E"/>
    <w:rsid w:val="00270C1E"/>
    <w:rsid w:val="00280384"/>
    <w:rsid w:val="002B37A1"/>
    <w:rsid w:val="002C0223"/>
    <w:rsid w:val="00332418"/>
    <w:rsid w:val="0036563C"/>
    <w:rsid w:val="003A4C4A"/>
    <w:rsid w:val="003D720D"/>
    <w:rsid w:val="00411061"/>
    <w:rsid w:val="00423C2C"/>
    <w:rsid w:val="00427CEC"/>
    <w:rsid w:val="00454126"/>
    <w:rsid w:val="004B5B61"/>
    <w:rsid w:val="004E23B2"/>
    <w:rsid w:val="00501264"/>
    <w:rsid w:val="00545641"/>
    <w:rsid w:val="0055754B"/>
    <w:rsid w:val="00567768"/>
    <w:rsid w:val="00597B2B"/>
    <w:rsid w:val="005A0099"/>
    <w:rsid w:val="006066DE"/>
    <w:rsid w:val="00636F1E"/>
    <w:rsid w:val="006450BB"/>
    <w:rsid w:val="00665A85"/>
    <w:rsid w:val="00683D42"/>
    <w:rsid w:val="00696B26"/>
    <w:rsid w:val="006A5BDE"/>
    <w:rsid w:val="006C0DA2"/>
    <w:rsid w:val="006E24E4"/>
    <w:rsid w:val="006F7181"/>
    <w:rsid w:val="007329F7"/>
    <w:rsid w:val="00795997"/>
    <w:rsid w:val="007B6F56"/>
    <w:rsid w:val="007D7E16"/>
    <w:rsid w:val="007F4C01"/>
    <w:rsid w:val="008005C3"/>
    <w:rsid w:val="0082400C"/>
    <w:rsid w:val="00830783"/>
    <w:rsid w:val="008338D3"/>
    <w:rsid w:val="00836997"/>
    <w:rsid w:val="00844DC3"/>
    <w:rsid w:val="0085628E"/>
    <w:rsid w:val="0089094D"/>
    <w:rsid w:val="008F1689"/>
    <w:rsid w:val="00900D44"/>
    <w:rsid w:val="009062E1"/>
    <w:rsid w:val="009214CD"/>
    <w:rsid w:val="00971FA4"/>
    <w:rsid w:val="009832FE"/>
    <w:rsid w:val="009F0226"/>
    <w:rsid w:val="00A0073C"/>
    <w:rsid w:val="00A1266A"/>
    <w:rsid w:val="00A24888"/>
    <w:rsid w:val="00A32738"/>
    <w:rsid w:val="00A51351"/>
    <w:rsid w:val="00A52279"/>
    <w:rsid w:val="00A60239"/>
    <w:rsid w:val="00A74B2A"/>
    <w:rsid w:val="00A808BB"/>
    <w:rsid w:val="00A94D0E"/>
    <w:rsid w:val="00AA1347"/>
    <w:rsid w:val="00AC24DA"/>
    <w:rsid w:val="00AE5CBD"/>
    <w:rsid w:val="00B3543B"/>
    <w:rsid w:val="00B6363B"/>
    <w:rsid w:val="00BF749A"/>
    <w:rsid w:val="00C7285F"/>
    <w:rsid w:val="00C97701"/>
    <w:rsid w:val="00CC0222"/>
    <w:rsid w:val="00CC08C0"/>
    <w:rsid w:val="00CE4986"/>
    <w:rsid w:val="00D7726F"/>
    <w:rsid w:val="00D8329E"/>
    <w:rsid w:val="00D86449"/>
    <w:rsid w:val="00D92B0D"/>
    <w:rsid w:val="00D951A3"/>
    <w:rsid w:val="00DE4861"/>
    <w:rsid w:val="00E175D2"/>
    <w:rsid w:val="00E7562F"/>
    <w:rsid w:val="00E94988"/>
    <w:rsid w:val="00EA7401"/>
    <w:rsid w:val="00F0624F"/>
    <w:rsid w:val="00F130B3"/>
    <w:rsid w:val="00F61FC6"/>
    <w:rsid w:val="00F8037A"/>
    <w:rsid w:val="00F85951"/>
    <w:rsid w:val="00F9555F"/>
    <w:rsid w:val="00FB53AD"/>
    <w:rsid w:val="00FD50F0"/>
    <w:rsid w:val="00FE13C9"/>
    <w:rsid w:val="095813A6"/>
    <w:rsid w:val="107E56B0"/>
    <w:rsid w:val="1A6A3713"/>
    <w:rsid w:val="23B7700C"/>
    <w:rsid w:val="25342C7B"/>
    <w:rsid w:val="2A661074"/>
    <w:rsid w:val="2F973007"/>
    <w:rsid w:val="3FDD483D"/>
    <w:rsid w:val="5AE01AED"/>
    <w:rsid w:val="67BBB7A0"/>
    <w:rsid w:val="717258D4"/>
    <w:rsid w:val="7EFD4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2467</Words>
  <Characters>2527</Characters>
  <Lines>22</Lines>
  <Paragraphs>6</Paragraphs>
  <TotalTime>17</TotalTime>
  <ScaleCrop>false</ScaleCrop>
  <LinksUpToDate>false</LinksUpToDate>
  <CharactersWithSpaces>2529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2021-04-30T13:54:00Z</dcterms:created>
  <dc:creator>Administrator</dc:creator>
  <cp:lastModifiedBy>D～R</cp:lastModifiedBy>
  <cp:lastPrinted>2022-08-03T08:25:00Z</cp:lastPrinted>
  <dcterms:modified xsi:type="dcterms:W3CDTF">2024-03-28T02:18:27Z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F7760D0EDC6B4B80AF2845B91A00C7FC_13</vt:lpwstr>
  </property>
</Properties>
</file>